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49" w:type="dxa"/>
        <w:tblInd w:w="52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</w:tblGrid>
      <w:tr w:rsidR="00C97B34" w:rsidRPr="00C97B34">
        <w:tc>
          <w:tcPr>
            <w:tcW w:w="4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0AC" w:rsidRPr="00C97B34" w:rsidRDefault="00BC12E9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97B34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F030AC" w:rsidRPr="00483AFC" w:rsidRDefault="00BC12E9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 w:rsidRPr="00483AFC">
              <w:rPr>
                <w:rFonts w:ascii="Times New Roman" w:hAnsi="Times New Roman"/>
              </w:rPr>
              <w:t xml:space="preserve">к  Порядку  </w:t>
            </w:r>
            <w:proofErr w:type="gramStart"/>
            <w:r w:rsidRPr="00483AFC">
              <w:rPr>
                <w:rFonts w:ascii="Times New Roman" w:hAnsi="Times New Roman"/>
              </w:rPr>
              <w:t xml:space="preserve">формирования  перечня  налоговых расходов </w:t>
            </w:r>
            <w:r w:rsidR="008F6760" w:rsidRPr="00483AFC">
              <w:rPr>
                <w:rFonts w:ascii="Times New Roman" w:hAnsi="Times New Roman"/>
                <w:kern w:val="0"/>
              </w:rPr>
              <w:t xml:space="preserve">Первомайского  муниципального округа </w:t>
            </w:r>
            <w:r w:rsidRPr="00483AFC">
              <w:rPr>
                <w:rFonts w:ascii="Times New Roman" w:hAnsi="Times New Roman"/>
              </w:rPr>
              <w:t>Тамбовской области</w:t>
            </w:r>
            <w:proofErr w:type="gramEnd"/>
            <w:r w:rsidRPr="00483AFC">
              <w:rPr>
                <w:rFonts w:ascii="Times New Roman" w:hAnsi="Times New Roman"/>
              </w:rPr>
              <w:t xml:space="preserve"> и осуществления оценки налоговых расходов</w:t>
            </w:r>
            <w:r w:rsidR="008F6760" w:rsidRPr="00483AFC">
              <w:rPr>
                <w:rFonts w:ascii="Times New Roman" w:hAnsi="Times New Roman"/>
              </w:rPr>
              <w:t xml:space="preserve"> </w:t>
            </w:r>
            <w:r w:rsidR="008F6760" w:rsidRPr="00483AFC">
              <w:rPr>
                <w:rFonts w:ascii="Times New Roman" w:hAnsi="Times New Roman"/>
                <w:kern w:val="0"/>
              </w:rPr>
              <w:t xml:space="preserve">Первомайского  муниципального округа </w:t>
            </w:r>
            <w:r w:rsidRPr="00483AFC">
              <w:rPr>
                <w:rFonts w:ascii="Times New Roman" w:hAnsi="Times New Roman"/>
              </w:rPr>
              <w:t xml:space="preserve"> Тамбовской области</w:t>
            </w:r>
          </w:p>
          <w:p w:rsidR="00F030AC" w:rsidRPr="00C97B34" w:rsidRDefault="00F030AC">
            <w:pPr>
              <w:pStyle w:val="a6"/>
              <w:spacing w:before="0" w:after="0" w:line="240" w:lineRule="auto"/>
              <w:jc w:val="center"/>
              <w:rPr>
                <w:rFonts w:ascii="PT Astra Serif" w:hAnsi="PT Astra Serif" w:hint="eastAsia"/>
              </w:rPr>
            </w:pPr>
          </w:p>
        </w:tc>
      </w:tr>
    </w:tbl>
    <w:p w:rsidR="00F030AC" w:rsidRPr="00C97B34" w:rsidRDefault="00F030AC">
      <w:pPr>
        <w:pStyle w:val="Standard"/>
        <w:rPr>
          <w:rFonts w:ascii="PT Astra Serif" w:hAnsi="PT Astra Serif" w:hint="eastAsia"/>
          <w:sz w:val="28"/>
          <w:szCs w:val="28"/>
        </w:rPr>
      </w:pPr>
    </w:p>
    <w:p w:rsidR="00F030AC" w:rsidRPr="00C97B34" w:rsidRDefault="00BC12E9">
      <w:pPr>
        <w:pStyle w:val="ConsPlusNormal"/>
        <w:jc w:val="center"/>
        <w:rPr>
          <w:b/>
          <w:bCs/>
        </w:rPr>
      </w:pPr>
      <w:r w:rsidRPr="00C97B34">
        <w:rPr>
          <w:b/>
          <w:bCs/>
        </w:rPr>
        <w:t xml:space="preserve">Результаты </w:t>
      </w:r>
      <w:proofErr w:type="gramStart"/>
      <w:r w:rsidRPr="00C97B34">
        <w:rPr>
          <w:b/>
          <w:bCs/>
        </w:rPr>
        <w:t>оценки эффективности налогового расхода</w:t>
      </w:r>
      <w:r w:rsidR="008F6760" w:rsidRPr="00C97B34">
        <w:rPr>
          <w:b/>
          <w:bCs/>
        </w:rPr>
        <w:t xml:space="preserve"> </w:t>
      </w:r>
      <w:r w:rsidR="008F6760" w:rsidRPr="00C97B34">
        <w:rPr>
          <w:b/>
          <w:kern w:val="0"/>
          <w:sz w:val="22"/>
          <w:szCs w:val="22"/>
        </w:rPr>
        <w:t xml:space="preserve">Первомайского  муниципального округа </w:t>
      </w:r>
      <w:r w:rsidRPr="00C97B34">
        <w:rPr>
          <w:b/>
          <w:bCs/>
        </w:rPr>
        <w:t xml:space="preserve"> Тамбовской области</w:t>
      </w:r>
      <w:proofErr w:type="gramEnd"/>
      <w:r w:rsidRPr="00C97B34">
        <w:rPr>
          <w:b/>
          <w:bCs/>
        </w:rPr>
        <w:t>,</w:t>
      </w:r>
    </w:p>
    <w:p w:rsidR="00F030AC" w:rsidRPr="00C97B34" w:rsidRDefault="00BC12E9">
      <w:pPr>
        <w:pStyle w:val="ConsPlusNormal"/>
        <w:jc w:val="center"/>
        <w:rPr>
          <w:b/>
          <w:bCs/>
        </w:rPr>
      </w:pPr>
      <w:proofErr w:type="gramStart"/>
      <w:r w:rsidRPr="00C97B34">
        <w:rPr>
          <w:b/>
          <w:bCs/>
        </w:rPr>
        <w:t>проведенной</w:t>
      </w:r>
      <w:proofErr w:type="gramEnd"/>
      <w:r w:rsidRPr="00C97B34">
        <w:rPr>
          <w:b/>
          <w:bCs/>
        </w:rPr>
        <w:t xml:space="preserve"> в ____году</w:t>
      </w:r>
    </w:p>
    <w:p w:rsidR="00F030AC" w:rsidRPr="00C97B34" w:rsidRDefault="00F030AC">
      <w:pPr>
        <w:pStyle w:val="ConsPlusNormal"/>
        <w:jc w:val="center"/>
        <w:rPr>
          <w:rFonts w:ascii="PT Astra Serif" w:hAnsi="PT Astra Serif" w:cs="PT Astra Serif"/>
          <w:b/>
          <w:bCs/>
        </w:rPr>
      </w:pPr>
    </w:p>
    <w:tbl>
      <w:tblPr>
        <w:tblW w:w="9983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1"/>
        <w:gridCol w:w="4082"/>
      </w:tblGrid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Оценка эффективности налогового расхода (налоговой льготы)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Показатели</w:t>
            </w:r>
          </w:p>
        </w:tc>
      </w:tr>
      <w:tr w:rsidR="00C97B34" w:rsidRPr="00C97B34">
        <w:tc>
          <w:tcPr>
            <w:tcW w:w="5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</w:t>
            </w:r>
          </w:p>
        </w:tc>
        <w:tc>
          <w:tcPr>
            <w:tcW w:w="4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</w:t>
            </w: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1. Общая информация</w:t>
            </w: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1.1. Наименование налогового расхода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1.2. Реквизиты нормативного правового акта, которым утверждена льгота, обусловливающая налоговый расход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1.3. Целевая категория налогового расхода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1.4. Источник информации для проведения оценки эффективности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 Оценка целесообразности налогового расхода</w:t>
            </w: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 w:rsidP="008F6760">
            <w:pPr>
              <w:pStyle w:val="ConsPlusNormal"/>
            </w:pPr>
            <w:r w:rsidRPr="00C97B34">
              <w:t xml:space="preserve">2.1. Оценка соответствия налогового расхода целям </w:t>
            </w:r>
            <w:r w:rsidR="008F6760" w:rsidRPr="00C97B34">
              <w:t xml:space="preserve">муниципальных </w:t>
            </w:r>
            <w:r w:rsidRPr="00C97B34">
              <w:t xml:space="preserve"> программ </w:t>
            </w:r>
            <w:r w:rsidR="008F6760" w:rsidRPr="00C97B34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C97B34">
              <w:t xml:space="preserve">Тамбовской области и (или) целям социально-экономической политики </w:t>
            </w:r>
            <w:r w:rsidR="008F6760" w:rsidRPr="00C97B34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C97B34">
              <w:t>Тамбовской области</w:t>
            </w: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 w:rsidP="00C3497E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>2.2. Наименование</w:t>
            </w:r>
            <w:r w:rsidR="00C3497E" w:rsidRPr="00C97B34">
              <w:rPr>
                <w:rFonts w:ascii="PT Astra Serif" w:hAnsi="PT Astra Serif" w:cs="PT Astra Serif"/>
              </w:rPr>
              <w:t xml:space="preserve">  </w:t>
            </w:r>
            <w:r w:rsidR="00C3497E" w:rsidRPr="00C97B34">
              <w:rPr>
                <w:rFonts w:ascii="PT Astra Serif" w:hAnsi="PT Astra Serif"/>
              </w:rPr>
              <w:t xml:space="preserve">муниципальной </w:t>
            </w:r>
            <w:r w:rsidR="008F6760" w:rsidRPr="00C97B34">
              <w:rPr>
                <w:rFonts w:ascii="PT Astra Serif" w:hAnsi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 xml:space="preserve">программы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>Тамбовской области и (или) документа стратегического планирования</w:t>
            </w:r>
            <w:r w:rsidR="008F6760" w:rsidRPr="00C97B34">
              <w:rPr>
                <w:rFonts w:ascii="PT Astra Serif" w:hAnsi="PT Astra Serif"/>
              </w:rPr>
              <w:t xml:space="preserve"> Первомайского муниципального округа</w:t>
            </w:r>
            <w:r w:rsidRPr="00C97B34">
              <w:rPr>
                <w:rFonts w:ascii="PT Astra Serif" w:hAnsi="PT Astra Serif" w:cs="PT Astra Serif"/>
              </w:rPr>
              <w:t xml:space="preserve"> Тамбовской области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 w:rsidP="00C3497E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 xml:space="preserve">2.3. Наименование цели </w:t>
            </w:r>
            <w:r w:rsidR="00C3497E" w:rsidRPr="00C97B34">
              <w:rPr>
                <w:rFonts w:ascii="PT Astra Serif" w:hAnsi="PT Astra Serif"/>
              </w:rPr>
              <w:t xml:space="preserve">муниципальной  </w:t>
            </w:r>
            <w:r w:rsidRPr="00C97B34">
              <w:rPr>
                <w:rFonts w:ascii="PT Astra Serif" w:hAnsi="PT Astra Serif" w:cs="PT Astra Serif"/>
              </w:rPr>
              <w:t xml:space="preserve">программы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>Тамбовской области и (или) цели социально-экономической политики</w:t>
            </w:r>
            <w:r w:rsidR="008F6760" w:rsidRPr="00C97B34">
              <w:rPr>
                <w:rFonts w:ascii="PT Astra Serif" w:hAnsi="PT Astra Serif"/>
              </w:rPr>
              <w:t xml:space="preserve"> Первомайского муниципального округа</w:t>
            </w:r>
            <w:r w:rsidRPr="00C97B34">
              <w:rPr>
                <w:rFonts w:ascii="PT Astra Serif" w:hAnsi="PT Astra Serif" w:cs="PT Astra Serif"/>
              </w:rPr>
              <w:t xml:space="preserve"> Тамбовской области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 w:rsidP="00C3497E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 xml:space="preserve">2.4. Вывод о соответствии налоговых </w:t>
            </w:r>
            <w:proofErr w:type="gramStart"/>
            <w:r w:rsidRPr="00C97B34">
              <w:rPr>
                <w:rFonts w:ascii="PT Astra Serif" w:hAnsi="PT Astra Serif" w:cs="PT Astra Serif"/>
              </w:rPr>
              <w:t xml:space="preserve">льгот цели </w:t>
            </w:r>
            <w:r w:rsidR="00C3497E" w:rsidRPr="00C97B34">
              <w:rPr>
                <w:rFonts w:ascii="PT Astra Serif" w:hAnsi="PT Astra Serif"/>
              </w:rPr>
              <w:t xml:space="preserve">муниципальной </w:t>
            </w:r>
            <w:r w:rsidRPr="00C97B34">
              <w:rPr>
                <w:rFonts w:ascii="PT Astra Serif" w:hAnsi="PT Astra Serif" w:cs="PT Astra Serif"/>
              </w:rPr>
              <w:t xml:space="preserve"> программы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>Тамбовской области</w:t>
            </w:r>
            <w:proofErr w:type="gramEnd"/>
            <w:r w:rsidRPr="00C97B34">
              <w:rPr>
                <w:rFonts w:ascii="PT Astra Serif" w:hAnsi="PT Astra Serif" w:cs="PT Astra Serif"/>
              </w:rPr>
              <w:t xml:space="preserve"> и (или) цели социально-экономической политики</w:t>
            </w:r>
            <w:r w:rsidR="008F6760" w:rsidRPr="00C97B34">
              <w:rPr>
                <w:rFonts w:ascii="PT Astra Serif" w:hAnsi="PT Astra Serif"/>
              </w:rPr>
              <w:t xml:space="preserve"> </w:t>
            </w:r>
            <w:r w:rsidR="008F6760" w:rsidRPr="00C97B34">
              <w:rPr>
                <w:rFonts w:ascii="PT Astra Serif" w:hAnsi="PT Astra Serif"/>
              </w:rPr>
              <w:lastRenderedPageBreak/>
              <w:t>Первомайского муниципального округа</w:t>
            </w:r>
            <w:r w:rsidRPr="00C97B34">
              <w:rPr>
                <w:rFonts w:ascii="PT Astra Serif" w:hAnsi="PT Astra Serif" w:cs="PT Astra Serif"/>
              </w:rPr>
              <w:t xml:space="preserve"> Тамбовской области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lastRenderedPageBreak/>
              <w:t>2.5. Оценка востребованности налогового расхода</w:t>
            </w: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2.6. Формула расчета уровня востребованности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2.7. Порядок определения численности потенциальных плательщиков, обладающих правом на применение льготы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2.8. Источник информации о численности потенциальных плательщиков, обладающих правом на применение льготы</w:t>
            </w:r>
          </w:p>
        </w:tc>
        <w:tc>
          <w:tcPr>
            <w:tcW w:w="4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2.9. Пороговое значение, при достижении которого льгота признается востребованной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2.10. Результат оценки востребованности (значение/ед. измерения)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2.11. Вывод о сохранении (уточнении, отмене) налоговых льгот для плательщиков на основании оценки востребованности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>3</w:t>
            </w:r>
            <w:r w:rsidRPr="00C97B34">
              <w:rPr>
                <w:rFonts w:ascii="PT Astra Serif" w:hAnsi="PT Astra Serif"/>
              </w:rPr>
              <w:t xml:space="preserve">. </w:t>
            </w:r>
            <w:r w:rsidRPr="00C97B34">
              <w:rPr>
                <w:rFonts w:ascii="PT Astra Serif" w:hAnsi="PT Astra Serif" w:cs="PT Astra Serif"/>
              </w:rPr>
              <w:t>Оценка результативности налогового расхода</w:t>
            </w: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 w:rsidP="00C3497E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 xml:space="preserve">3.1.Оценка вклада налоговой льготы в изменение значения показателя (индикатора) достижения целей </w:t>
            </w:r>
            <w:r w:rsidR="00C3497E" w:rsidRPr="00C97B34">
              <w:rPr>
                <w:rFonts w:ascii="PT Astra Serif" w:hAnsi="PT Astra Serif"/>
              </w:rPr>
              <w:t xml:space="preserve">муниципальной </w:t>
            </w:r>
            <w:r w:rsidRPr="00C97B34">
              <w:rPr>
                <w:rFonts w:ascii="PT Astra Serif" w:hAnsi="PT Astra Serif" w:cs="PT Astra Serif"/>
              </w:rPr>
              <w:t xml:space="preserve"> программы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 xml:space="preserve">Тамбовской области и (или) целей социально-экономической политики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>Тамбовской области</w:t>
            </w: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3.2. Наименование показателя (индикатора)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3.3. Источник информации о значении показателя (индикатора)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3.4. Формула расчета уровня вклада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3.5. Порядок расчета (финансовая модель) расчета значения показателя (индикатора) без учета льготы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3.6. Результат оценки вклада (значение/ед. измерения)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3.7. Вывод о сохранении (уточнении, отмене) налоговых льгот для плательщиков на основании оценки вклада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9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3.8. Оценка бюджетной эффективности налогового расхода</w:t>
            </w: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3.9. Формула расчета бюджетной эффективности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 xml:space="preserve">3.10. Наименование альтернативных </w:t>
            </w:r>
            <w:proofErr w:type="gramStart"/>
            <w:r w:rsidRPr="00C97B34">
              <w:rPr>
                <w:rFonts w:ascii="PT Astra Serif" w:hAnsi="PT Astra Serif" w:cs="PT Astra Serif"/>
              </w:rPr>
              <w:t xml:space="preserve">механизмов достижения целей государственной программы </w:t>
            </w:r>
            <w:r w:rsidR="008F6760" w:rsidRPr="00C97B34">
              <w:rPr>
                <w:rFonts w:ascii="PT Astra Serif" w:hAnsi="PT Astra Serif"/>
              </w:rPr>
              <w:t>Первомайского муниципального округа</w:t>
            </w:r>
            <w:r w:rsidR="008F6760" w:rsidRPr="00C97B34">
              <w:rPr>
                <w:rFonts w:ascii="PT Astra Serif" w:hAnsi="PT Astra Serif" w:cs="PT Astra Serif"/>
              </w:rPr>
              <w:t xml:space="preserve"> </w:t>
            </w:r>
            <w:r w:rsidRPr="00C97B34">
              <w:rPr>
                <w:rFonts w:ascii="PT Astra Serif" w:hAnsi="PT Astra Serif" w:cs="PT Astra Serif"/>
              </w:rPr>
              <w:t xml:space="preserve">Тамбовской </w:t>
            </w:r>
            <w:r w:rsidRPr="00C97B34">
              <w:rPr>
                <w:rFonts w:ascii="PT Astra Serif" w:hAnsi="PT Astra Serif" w:cs="PT Astra Serif"/>
              </w:rPr>
              <w:lastRenderedPageBreak/>
              <w:t>области</w:t>
            </w:r>
            <w:proofErr w:type="gramEnd"/>
            <w:r w:rsidRPr="00C97B34">
              <w:rPr>
                <w:rFonts w:ascii="PT Astra Serif" w:hAnsi="PT Astra Serif" w:cs="PT Astra Serif"/>
              </w:rPr>
              <w:t xml:space="preserve"> и (или) целей социально-экономической политики</w:t>
            </w:r>
            <w:r w:rsidR="008F6760" w:rsidRPr="00C97B34">
              <w:rPr>
                <w:rFonts w:ascii="PT Astra Serif" w:hAnsi="PT Astra Serif"/>
              </w:rPr>
              <w:t xml:space="preserve"> Первомайского муниципального округа</w:t>
            </w:r>
            <w:r w:rsidRPr="00C97B34">
              <w:rPr>
                <w:rFonts w:ascii="PT Astra Serif" w:hAnsi="PT Astra Serif" w:cs="PT Astra Serif"/>
              </w:rPr>
              <w:t xml:space="preserve"> Тамбовской области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lastRenderedPageBreak/>
              <w:t>3</w:t>
            </w:r>
            <w:r w:rsidRPr="00C97B34">
              <w:t>.11. Порядок расчета значения объема средств на применение альтернативного механизма (в случае идентичных значений показателя (индикатора) при применении налогового расхода и альтернативного механизма) или порядок расчета значения показателя (индикатора) (в случае идентичных значений объема налогового расхода и альтернативного механизма)</w:t>
            </w:r>
          </w:p>
        </w:tc>
        <w:tc>
          <w:tcPr>
            <w:tcW w:w="4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3.12. Результата оценки бюджетной эффективности налогового расхода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 w:cs="PT Astra Serif"/>
              </w:rPr>
            </w:pPr>
            <w:r w:rsidRPr="00C97B34">
              <w:rPr>
                <w:rFonts w:ascii="PT Astra Serif" w:hAnsi="PT Astra Serif" w:cs="PT Astra Serif"/>
              </w:rPr>
              <w:t>3.13. Вывод о сохранении (уточнении, отмене) налоговых льгот для плательщиков на основании оценки эффективности налогового расхода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  <w:tr w:rsidR="00C97B34" w:rsidRPr="00C97B34"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BC12E9">
            <w:pPr>
              <w:pStyle w:val="ConsPlusNormal"/>
              <w:rPr>
                <w:rFonts w:ascii="PT Astra Serif" w:hAnsi="PT Astra Serif"/>
              </w:rPr>
            </w:pPr>
            <w:r w:rsidRPr="00C97B34">
              <w:rPr>
                <w:rFonts w:ascii="PT Astra Serif" w:hAnsi="PT Astra Serif" w:cs="PT Astra Serif"/>
              </w:rPr>
              <w:t>4</w:t>
            </w:r>
            <w:r w:rsidRPr="00C97B34">
              <w:rPr>
                <w:rFonts w:ascii="PT Astra Serif" w:hAnsi="PT Astra Serif"/>
              </w:rPr>
              <w:t xml:space="preserve">. </w:t>
            </w:r>
            <w:r w:rsidRPr="00C97B34">
              <w:rPr>
                <w:rFonts w:ascii="PT Astra Serif" w:hAnsi="PT Astra Serif" w:cs="PT Astra Serif"/>
              </w:rPr>
              <w:t>Итоговый вывод о сохранении (уточнении, отмене) налоговых льгот для плательщиков на основании оценок целесообразности и результативности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0AC" w:rsidRPr="00C97B34" w:rsidRDefault="00F030AC">
            <w:pPr>
              <w:pStyle w:val="ConsPlusNormal"/>
              <w:rPr>
                <w:rFonts w:ascii="PT Astra Serif" w:hAnsi="PT Astra Serif"/>
                <w:shd w:val="clear" w:color="auto" w:fill="FFFF00"/>
              </w:rPr>
            </w:pPr>
          </w:p>
        </w:tc>
      </w:tr>
    </w:tbl>
    <w:p w:rsidR="00F030AC" w:rsidRPr="00C97B34" w:rsidRDefault="00F030AC">
      <w:pPr>
        <w:pStyle w:val="Standard"/>
        <w:spacing w:line="276" w:lineRule="auto"/>
        <w:rPr>
          <w:rFonts w:ascii="PT Astra Serif" w:hAnsi="PT Astra Serif" w:cs="Times New Roman" w:hint="eastAsia"/>
        </w:rPr>
      </w:pPr>
    </w:p>
    <w:p w:rsidR="00F030AC" w:rsidRPr="00C97B34" w:rsidRDefault="00F030AC">
      <w:pPr>
        <w:pStyle w:val="a5"/>
        <w:tabs>
          <w:tab w:val="center" w:pos="4677"/>
          <w:tab w:val="right" w:pos="9355"/>
        </w:tabs>
        <w:jc w:val="center"/>
        <w:textAlignment w:val="auto"/>
        <w:rPr>
          <w:rFonts w:ascii="Calibri" w:eastAsia="Times New Roman" w:hAnsi="Calibri" w:cs="Calibri"/>
          <w:sz w:val="22"/>
          <w:szCs w:val="22"/>
          <w:lang w:eastAsia="ru-RU" w:bidi="ar-S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a5"/>
        <w:rPr>
          <w:rFonts w:hint="eastAsia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F030AC" w:rsidRPr="00C97B34" w:rsidRDefault="00F030AC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sectPr w:rsidR="00F030AC" w:rsidRPr="00C97B34" w:rsidSect="00E22208">
      <w:headerReference w:type="default" r:id="rId7"/>
      <w:pgSz w:w="11906" w:h="16838"/>
      <w:pgMar w:top="1418" w:right="567" w:bottom="1134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FE" w:rsidRDefault="00420BFE">
      <w:pPr>
        <w:rPr>
          <w:rFonts w:hint="eastAsia"/>
        </w:rPr>
      </w:pPr>
      <w:r>
        <w:separator/>
      </w:r>
    </w:p>
  </w:endnote>
  <w:endnote w:type="continuationSeparator" w:id="0">
    <w:p w:rsidR="00420BFE" w:rsidRDefault="00420B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FE" w:rsidRDefault="00420B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20BFE" w:rsidRDefault="00420B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35" w:rsidRDefault="00420BFE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030AC"/>
    <w:rsid w:val="001D577F"/>
    <w:rsid w:val="00201E39"/>
    <w:rsid w:val="00235195"/>
    <w:rsid w:val="00420BFE"/>
    <w:rsid w:val="00440E2A"/>
    <w:rsid w:val="00483AFC"/>
    <w:rsid w:val="006B4EFD"/>
    <w:rsid w:val="007F232C"/>
    <w:rsid w:val="00810EE8"/>
    <w:rsid w:val="00875099"/>
    <w:rsid w:val="008F6760"/>
    <w:rsid w:val="0095053D"/>
    <w:rsid w:val="00AC115A"/>
    <w:rsid w:val="00BC12E9"/>
    <w:rsid w:val="00C3497E"/>
    <w:rsid w:val="00C97B34"/>
    <w:rsid w:val="00E22208"/>
    <w:rsid w:val="00F030AC"/>
    <w:rsid w:val="00F2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B3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97B34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B3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97B34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rf_05</dc:creator>
  <cp:lastModifiedBy>rf_07</cp:lastModifiedBy>
  <cp:revision>10</cp:revision>
  <cp:lastPrinted>2024-02-07T08:57:00Z</cp:lastPrinted>
  <dcterms:created xsi:type="dcterms:W3CDTF">2024-01-10T15:35:00Z</dcterms:created>
  <dcterms:modified xsi:type="dcterms:W3CDTF">2024-02-15T13:08:00Z</dcterms:modified>
</cp:coreProperties>
</file>