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05" w:rsidRDefault="007D2A05" w:rsidP="001577AC">
      <w:pPr>
        <w:pStyle w:val="af8"/>
        <w:rPr>
          <w:rStyle w:val="a6"/>
          <w:rFonts w:ascii="Arial" w:hAnsi="Arial" w:cs="Arial"/>
          <w:b w:val="0"/>
          <w:bCs/>
        </w:rPr>
      </w:pPr>
    </w:p>
    <w:p w:rsidR="007126EF" w:rsidRPr="008B2D28" w:rsidRDefault="007126EF" w:rsidP="00866B56">
      <w:pPr>
        <w:tabs>
          <w:tab w:val="left" w:pos="5670"/>
          <w:tab w:val="left" w:pos="5812"/>
          <w:tab w:val="left" w:pos="7513"/>
        </w:tabs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6"/>
          <w:rFonts w:ascii="Arial" w:hAnsi="Arial" w:cs="Arial"/>
          <w:b w:val="0"/>
          <w:bCs/>
        </w:rPr>
        <w:t xml:space="preserve">                                           </w:t>
      </w:r>
      <w:r w:rsidRPr="008B2D28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  <w:r w:rsidRPr="008B2D28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</w:t>
      </w:r>
      <w:r w:rsidR="00866B56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proofErr w:type="gramStart"/>
      <w:r w:rsidRPr="008B2D28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УТВЕРЖДЕНА</w:t>
      </w:r>
      <w:proofErr w:type="gramEnd"/>
    </w:p>
    <w:p w:rsidR="007126EF" w:rsidRDefault="00101BF2" w:rsidP="00763A9A">
      <w:pPr>
        <w:tabs>
          <w:tab w:val="left" w:pos="7513"/>
        </w:tabs>
        <w:ind w:firstLine="0"/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>
        <w:t xml:space="preserve">                            </w:t>
      </w:r>
      <w:r w:rsidR="00763A9A">
        <w:t xml:space="preserve">                            </w:t>
      </w:r>
      <w:hyperlink w:anchor="sub_0" w:history="1">
        <w:r w:rsidR="007126EF" w:rsidRPr="008B2D28">
          <w:rPr>
            <w:rStyle w:val="a7"/>
            <w:sz w:val="28"/>
            <w:szCs w:val="28"/>
          </w:rPr>
          <w:t>постановлением</w:t>
        </w:r>
      </w:hyperlink>
      <w:r w:rsidR="007126EF" w:rsidRPr="008B2D28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администрации</w:t>
      </w:r>
      <w:r w:rsidR="007126EF" w:rsidRPr="002E29D7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126EF" w:rsidRPr="008B2D28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округа</w:t>
      </w:r>
      <w:r w:rsidR="007126EF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  </w:t>
      </w:r>
    </w:p>
    <w:p w:rsidR="007126EF" w:rsidRPr="008B2D28" w:rsidRDefault="007126EF" w:rsidP="00866B56">
      <w:pPr>
        <w:tabs>
          <w:tab w:val="left" w:pos="5670"/>
          <w:tab w:val="left" w:pos="6804"/>
          <w:tab w:val="left" w:pos="7513"/>
        </w:tabs>
        <w:ind w:firstLine="0"/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</w:t>
      </w:r>
      <w:r w:rsidR="00866B56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       </w:t>
      </w:r>
      <w:r w:rsidR="001577AC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от 19.01.</w:t>
      </w:r>
      <w:r w:rsidR="005E1ABC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2024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№</w:t>
      </w:r>
      <w:r w:rsidR="001577AC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96</w:t>
      </w:r>
    </w:p>
    <w:p w:rsidR="003B2F27" w:rsidRDefault="003B2F27" w:rsidP="007126E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3007A1" w:rsidRPr="003007A1" w:rsidRDefault="003007A1" w:rsidP="003007A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007A1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3007A1">
        <w:rPr>
          <w:rFonts w:ascii="Times New Roman" w:hAnsi="Times New Roman" w:cs="Times New Roman"/>
          <w:sz w:val="28"/>
          <w:szCs w:val="28"/>
        </w:rPr>
        <w:br/>
        <w:t xml:space="preserve">Первомайского муниципального округа Тамбовской области </w:t>
      </w:r>
    </w:p>
    <w:p w:rsidR="003007A1" w:rsidRPr="003007A1" w:rsidRDefault="003007A1" w:rsidP="003007A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007A1">
        <w:rPr>
          <w:rFonts w:ascii="Times New Roman" w:hAnsi="Times New Roman" w:cs="Times New Roman"/>
          <w:sz w:val="28"/>
          <w:szCs w:val="28"/>
        </w:rPr>
        <w:t>"Экономическое развитие и инновационная экономика"</w:t>
      </w:r>
    </w:p>
    <w:p w:rsidR="007126EF" w:rsidRPr="004538E3" w:rsidRDefault="004538E3" w:rsidP="007126E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538E3">
        <w:rPr>
          <w:rFonts w:ascii="Times New Roman" w:hAnsi="Times New Roman" w:cs="Times New Roman"/>
          <w:b w:val="0"/>
          <w:sz w:val="28"/>
          <w:szCs w:val="28"/>
        </w:rPr>
        <w:t>Паспорт муниципальной программы</w:t>
      </w:r>
      <w:r w:rsidR="007126EF" w:rsidRPr="004538E3">
        <w:rPr>
          <w:rFonts w:ascii="Times New Roman" w:hAnsi="Times New Roman" w:cs="Times New Roman"/>
          <w:b w:val="0"/>
          <w:sz w:val="28"/>
          <w:szCs w:val="28"/>
        </w:rPr>
        <w:br/>
        <w:t xml:space="preserve">Первомайского муниципального округа Тамбовской области </w:t>
      </w:r>
    </w:p>
    <w:p w:rsidR="007126EF" w:rsidRPr="004538E3" w:rsidRDefault="007126EF" w:rsidP="007126E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538E3">
        <w:rPr>
          <w:rFonts w:ascii="Times New Roman" w:hAnsi="Times New Roman" w:cs="Times New Roman"/>
          <w:b w:val="0"/>
          <w:sz w:val="28"/>
          <w:szCs w:val="28"/>
        </w:rPr>
        <w:t>"Экономическое развитие и инновационная экономика"</w:t>
      </w:r>
    </w:p>
    <w:tbl>
      <w:tblPr>
        <w:tblW w:w="9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1"/>
        <w:gridCol w:w="6042"/>
      </w:tblGrid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енный исполнитель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0D66A9" w:rsidRDefault="007126EF" w:rsidP="00101BF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  <w:r w:rsidR="00101BF2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инвестиционной политики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0D66A9" w:rsidRDefault="007126EF" w:rsidP="00EB685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администрации муниципального округа;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</w:t>
            </w:r>
            <w:r w:rsidR="00EA5EFD">
              <w:rPr>
                <w:rFonts w:ascii="Times New Roman" w:hAnsi="Times New Roman" w:cs="Times New Roman"/>
                <w:sz w:val="28"/>
                <w:szCs w:val="28"/>
              </w:rPr>
              <w:t>чреждение "Многофункциональный ц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ентр предоставления государственных и муниципальных услуг населению Первомайского </w:t>
            </w:r>
            <w:r w:rsidR="00EA5EFD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";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"Служба организационно-технического обеспечения деятельности администрации Первомайского </w:t>
            </w:r>
            <w:r w:rsidR="00EB6857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области".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(подпрограммы) муниципальной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0D66A9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инвестиционного климата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"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№4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126EF" w:rsidRPr="000D66A9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"Развитие малого и среднего предпринимательства" (</w:t>
            </w:r>
            <w:hyperlink w:anchor="sub_14000" w:history="1">
              <w:r>
                <w:rPr>
                  <w:rStyle w:val="a7"/>
                  <w:sz w:val="28"/>
                  <w:szCs w:val="28"/>
                </w:rPr>
                <w:t>п</w:t>
              </w:r>
              <w:r w:rsidRPr="006D418A">
                <w:rPr>
                  <w:rStyle w:val="a7"/>
                  <w:sz w:val="28"/>
                  <w:szCs w:val="28"/>
                </w:rPr>
                <w:t>риложение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№5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126EF" w:rsidRPr="000D66A9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"Совершенствование муниципального управления"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hyperlink w:anchor="sub_15000" w:history="1">
              <w:r>
                <w:rPr>
                  <w:rStyle w:val="a7"/>
                  <w:sz w:val="28"/>
                  <w:szCs w:val="28"/>
                </w:rPr>
                <w:t>6</w:t>
              </w:r>
            </w:hyperlink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8044CE" w:rsidRDefault="008044CE" w:rsidP="008044C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044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126EF" w:rsidRPr="008044CE">
              <w:rPr>
                <w:rFonts w:ascii="Times New Roman" w:hAnsi="Times New Roman" w:cs="Times New Roman"/>
                <w:sz w:val="28"/>
                <w:szCs w:val="28"/>
              </w:rPr>
              <w:t>рограмм</w:t>
            </w:r>
            <w:r w:rsidRPr="008044CE">
              <w:rPr>
                <w:rFonts w:ascii="Times New Roman" w:hAnsi="Times New Roman" w:cs="Times New Roman"/>
                <w:sz w:val="28"/>
                <w:szCs w:val="28"/>
              </w:rPr>
              <w:t>но – целевые и проектные инструменты (федеральные (региональные) проекты)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966902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902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«Акселерация субъектов малого и среднего предпринимательства»;</w:t>
            </w:r>
          </w:p>
          <w:p w:rsidR="007126EF" w:rsidRPr="00966902" w:rsidRDefault="007126EF" w:rsidP="00964F69">
            <w:pPr>
              <w:ind w:firstLine="0"/>
              <w:rPr>
                <w:sz w:val="28"/>
                <w:szCs w:val="28"/>
              </w:rPr>
            </w:pPr>
            <w:r w:rsidRPr="00966902">
              <w:rPr>
                <w:sz w:val="28"/>
                <w:szCs w:val="28"/>
              </w:rPr>
              <w:t>региональный проект «Создание условий для легкого старта и  комфортного ведения бизнеса»;</w:t>
            </w:r>
          </w:p>
          <w:p w:rsidR="007126EF" w:rsidRPr="00966902" w:rsidRDefault="007126EF" w:rsidP="00964F69">
            <w:pPr>
              <w:ind w:firstLine="0"/>
              <w:rPr>
                <w:sz w:val="28"/>
                <w:szCs w:val="28"/>
              </w:rPr>
            </w:pPr>
            <w:r w:rsidRPr="00966902">
              <w:rPr>
                <w:sz w:val="28"/>
                <w:szCs w:val="28"/>
              </w:rPr>
              <w:t xml:space="preserve">региональный проект  «Создание благоприятных условий для осуществления деятельности </w:t>
            </w:r>
            <w:proofErr w:type="spellStart"/>
            <w:r w:rsidRPr="00966902">
              <w:rPr>
                <w:sz w:val="28"/>
                <w:szCs w:val="28"/>
              </w:rPr>
              <w:t>самозанятыми</w:t>
            </w:r>
            <w:proofErr w:type="spellEnd"/>
            <w:r w:rsidRPr="00966902">
              <w:rPr>
                <w:sz w:val="28"/>
                <w:szCs w:val="28"/>
              </w:rPr>
              <w:t xml:space="preserve"> гражданами»;</w:t>
            </w:r>
          </w:p>
          <w:p w:rsidR="007126EF" w:rsidRPr="008044CE" w:rsidRDefault="007126EF" w:rsidP="00964F69">
            <w:pPr>
              <w:ind w:firstLine="0"/>
              <w:rPr>
                <w:color w:val="FF0000"/>
                <w:sz w:val="28"/>
                <w:szCs w:val="28"/>
              </w:rPr>
            </w:pPr>
            <w:r w:rsidRPr="00966902">
              <w:rPr>
                <w:sz w:val="28"/>
                <w:szCs w:val="28"/>
              </w:rPr>
              <w:t>региональный проект «Реализация новых инвестиционных проектов»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A27CF">
              <w:rPr>
                <w:rFonts w:ascii="Times New Roman" w:hAnsi="Times New Roman" w:cs="Times New Roman"/>
                <w:sz w:val="28"/>
                <w:szCs w:val="28"/>
              </w:rPr>
              <w:t>Цель 1: создание благоприятного инвестиционного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делового </w:t>
            </w:r>
            <w:r w:rsidRPr="008A27CF">
              <w:rPr>
                <w:rFonts w:ascii="Times New Roman" w:hAnsi="Times New Roman" w:cs="Times New Roman"/>
                <w:sz w:val="28"/>
                <w:szCs w:val="28"/>
              </w:rPr>
              <w:t xml:space="preserve"> климата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26EF" w:rsidRPr="008A27CF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A27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2: повышение инвестиционной активности бизнеса.</w:t>
            </w:r>
          </w:p>
          <w:p w:rsidR="00565A0E" w:rsidRDefault="007126EF" w:rsidP="00565A0E">
            <w:pPr>
              <w:pStyle w:val="a5"/>
              <w:rPr>
                <w:color w:val="FF0000"/>
              </w:rPr>
            </w:pPr>
            <w:r w:rsidRPr="008A27CF">
              <w:rPr>
                <w:rFonts w:ascii="Times New Roman" w:hAnsi="Times New Roman" w:cs="Times New Roman"/>
                <w:sz w:val="28"/>
                <w:szCs w:val="28"/>
              </w:rPr>
              <w:t>Цель 3: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2FB7" w:rsidRPr="00012224">
              <w:rPr>
                <w:color w:val="FF0000"/>
              </w:rPr>
              <w:t xml:space="preserve"> </w:t>
            </w:r>
          </w:p>
          <w:p w:rsidR="007126EF" w:rsidRPr="00DE59F1" w:rsidRDefault="007126EF" w:rsidP="00565A0E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4:</w:t>
            </w:r>
            <w:r w:rsidRPr="008A27C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муниципального управления.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муниципальной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591795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795">
              <w:rPr>
                <w:rFonts w:ascii="Times New Roman" w:hAnsi="Times New Roman" w:cs="Times New Roman"/>
                <w:sz w:val="28"/>
                <w:szCs w:val="28"/>
              </w:rPr>
              <w:t>1.Повышение инвестиционной привлекательности Первомайского муниципального округа и создание благоприятных условий для привлечения инвестиций в экономику  округа.</w:t>
            </w:r>
          </w:p>
          <w:p w:rsidR="007126EF" w:rsidRPr="0009029A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29A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сбалансированного экономического развития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конкурентоспособности экономики</w:t>
            </w:r>
            <w:r w:rsidRPr="0009029A">
              <w:rPr>
                <w:rFonts w:ascii="Times New Roman" w:hAnsi="Times New Roman" w:cs="Times New Roman"/>
                <w:sz w:val="28"/>
                <w:szCs w:val="28"/>
              </w:rPr>
              <w:t xml:space="preserve"> округа.</w:t>
            </w:r>
          </w:p>
          <w:p w:rsidR="007126EF" w:rsidRPr="0009029A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02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программно-целевого управления.</w:t>
            </w:r>
            <w:r w:rsidRPr="0009029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126E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4.Увеличение доли субъектов малого и среднего предпринимательства в экономике округа, развитие института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26E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5.Повышение доступности и качества муниципальных услуг.</w:t>
            </w:r>
          </w:p>
          <w:p w:rsidR="007126EF" w:rsidRPr="00DE59F1" w:rsidRDefault="005644A3" w:rsidP="00964F69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6.Ф</w:t>
            </w:r>
            <w:r w:rsidR="007126EF">
              <w:rPr>
                <w:rFonts w:ascii="Times New Roman" w:hAnsi="Times New Roman" w:cs="Times New Roman"/>
                <w:sz w:val="28"/>
                <w:szCs w:val="28"/>
              </w:rPr>
              <w:t>ормирование</w:t>
            </w:r>
            <w:r w:rsidR="007126EF" w:rsidRPr="004C2086">
              <w:rPr>
                <w:rFonts w:ascii="Times New Roman" w:hAnsi="Times New Roman" w:cs="Times New Roman"/>
                <w:sz w:val="28"/>
                <w:szCs w:val="28"/>
              </w:rPr>
              <w:t xml:space="preserve"> высококвалифицированного кадрового состава муниципальной службы округа, обеспечивающего эффективность муниципального управления</w:t>
            </w:r>
            <w:r w:rsidR="007126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программы, их значения на последний год реализации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A9524B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8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 и</w:t>
            </w:r>
            <w:r w:rsidRPr="006B6859">
              <w:rPr>
                <w:rFonts w:ascii="Times New Roman" w:hAnsi="Times New Roman" w:cs="Times New Roman"/>
                <w:sz w:val="28"/>
                <w:szCs w:val="28"/>
              </w:rPr>
              <w:t xml:space="preserve">нвестиции в основной капитал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A9524B">
              <w:rPr>
                <w:rFonts w:ascii="Times New Roman" w:hAnsi="Times New Roman" w:cs="Times New Roman"/>
                <w:sz w:val="28"/>
                <w:szCs w:val="28"/>
              </w:rPr>
              <w:t xml:space="preserve">валовом продукте округа  - </w:t>
            </w:r>
            <w:r w:rsidR="007949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9524B">
              <w:rPr>
                <w:rFonts w:ascii="Times New Roman" w:hAnsi="Times New Roman" w:cs="Times New Roman"/>
                <w:sz w:val="28"/>
                <w:szCs w:val="28"/>
              </w:rPr>
              <w:t xml:space="preserve">%; </w:t>
            </w:r>
          </w:p>
          <w:p w:rsidR="007126EF" w:rsidRPr="00A9524B" w:rsidRDefault="007126EF" w:rsidP="00964F69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9524B">
              <w:rPr>
                <w:sz w:val="28"/>
                <w:szCs w:val="28"/>
              </w:rPr>
              <w:t xml:space="preserve">Индекс физического объема инвестиций в основной капитал </w:t>
            </w:r>
            <w:r w:rsidR="00D94CAC">
              <w:rPr>
                <w:sz w:val="28"/>
                <w:szCs w:val="28"/>
              </w:rPr>
              <w:t>140</w:t>
            </w:r>
            <w:r w:rsidRPr="00A9524B">
              <w:rPr>
                <w:sz w:val="28"/>
                <w:szCs w:val="28"/>
              </w:rPr>
              <w:t>%;</w:t>
            </w:r>
          </w:p>
          <w:p w:rsidR="007126E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136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  <w:r w:rsidRPr="00513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занятых в сфере малого и среднего</w:t>
            </w:r>
            <w:r w:rsidRPr="0051369A">
              <w:rPr>
                <w:rFonts w:ascii="Times New Roman" w:hAnsi="Times New Roman" w:cs="Times New Roman"/>
                <w:sz w:val="28"/>
                <w:szCs w:val="28"/>
              </w:rPr>
              <w:t xml:space="preserve">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нимательства, включая индивидуальных предпринимателей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1,7 тыс. человек;</w:t>
            </w:r>
          </w:p>
          <w:p w:rsidR="007126EF" w:rsidRPr="001751CC" w:rsidRDefault="007126EF" w:rsidP="002E7029">
            <w:pPr>
              <w:pStyle w:val="a5"/>
              <w:jc w:val="both"/>
              <w:rPr>
                <w:sz w:val="28"/>
                <w:szCs w:val="28"/>
              </w:rPr>
            </w:pPr>
            <w:r w:rsidRPr="00513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4.Уровень удовлетворенности населения Первомайского муниципального округа качеством предоставления государственных и муниципальных услуг - </w:t>
            </w:r>
            <w:r w:rsidR="00773FDC">
              <w:rPr>
                <w:rFonts w:ascii="Times New Roman" w:hAnsi="Times New Roman" w:cs="Times New Roman"/>
                <w:sz w:val="28"/>
                <w:szCs w:val="28"/>
              </w:rPr>
              <w:t>100%.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E24294" w:rsidRDefault="007126EF" w:rsidP="002D2B7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E24294">
              <w:rPr>
                <w:rFonts w:ascii="Times New Roman" w:hAnsi="Times New Roman" w:cs="Times New Roman"/>
                <w:sz w:val="28"/>
                <w:szCs w:val="28"/>
              </w:rPr>
              <w:t>-2030 годы</w:t>
            </w:r>
          </w:p>
        </w:tc>
      </w:tr>
      <w:tr w:rsidR="007126EF" w:rsidRPr="000D66A9" w:rsidTr="00964F69">
        <w:tc>
          <w:tcPr>
            <w:tcW w:w="3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EF" w:rsidRPr="000D66A9" w:rsidRDefault="007126EF" w:rsidP="00964F6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Объемы и источн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ики финансирования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D66A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Общие затраты на реализацию муниципальной  программы в 2024 – 2030 гг. за счет всех источников финансирования 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45593,1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 по годам: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6513,3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6513,3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6513,3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6513,3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6513,3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6513,3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2030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6513,3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9639,0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 тыс. рублей: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E85CC1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 xml:space="preserve">2030 год - 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="00DC40FA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5CC1" w:rsidRPr="00E85C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85CC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бюджет области - 0,0 тыс. рублей: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2024 год - 0,0 тыс. рублей;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2025 год - 0,0 тыс. рублей;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2026 год - 0,0 тыс. рублей;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2027 год - 0,0 тыс. рублей;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2028 год - 0,0 тыс. рублей;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2029 год - 0,0 тыс. рублей;</w:t>
            </w:r>
          </w:p>
          <w:p w:rsidR="007126EF" w:rsidRPr="0017432F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2F">
              <w:rPr>
                <w:rFonts w:ascii="Times New Roman" w:hAnsi="Times New Roman" w:cs="Times New Roman"/>
                <w:sz w:val="28"/>
                <w:szCs w:val="28"/>
              </w:rPr>
              <w:t>2030 год - 0,0 тыс. рублей;</w:t>
            </w:r>
          </w:p>
          <w:p w:rsidR="007126EF" w:rsidRPr="007D6893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893" w:rsidRPr="007D68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35954,1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 тыс. рублей:</w:t>
            </w:r>
          </w:p>
          <w:p w:rsidR="007126EF" w:rsidRPr="007D6893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6893"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5136,3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126EF" w:rsidRPr="007D6893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36D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5136,3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36D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7D6893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5136,3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7D6893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2027 год - 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5136,3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7D6893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2028 год -</w:t>
            </w:r>
            <w:r w:rsidR="007D6893"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5136,3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7D6893" w:rsidRDefault="007126EF" w:rsidP="00964F6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5136,3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7126EF" w:rsidRPr="009A6C88" w:rsidRDefault="007126EF" w:rsidP="00DC40FA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2030 год -</w:t>
            </w:r>
            <w:r w:rsidR="00A97F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40FA">
              <w:rPr>
                <w:rFonts w:ascii="Times New Roman" w:hAnsi="Times New Roman" w:cs="Times New Roman"/>
                <w:sz w:val="28"/>
                <w:szCs w:val="28"/>
              </w:rPr>
              <w:t>5136,3</w:t>
            </w:r>
            <w:r w:rsidR="00DC40FA" w:rsidRPr="007D68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6893" w:rsidRPr="007D68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D6893">
              <w:rPr>
                <w:rFonts w:ascii="Times New Roman" w:hAnsi="Times New Roman" w:cs="Times New Roman"/>
                <w:sz w:val="28"/>
                <w:szCs w:val="28"/>
              </w:rPr>
              <w:t>тыс. рублей.</w:t>
            </w:r>
          </w:p>
        </w:tc>
      </w:tr>
    </w:tbl>
    <w:p w:rsidR="007126EF" w:rsidRDefault="007126EF" w:rsidP="007126E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126EF" w:rsidRPr="008177FB" w:rsidRDefault="007126EF" w:rsidP="007126EF">
      <w:pPr>
        <w:pStyle w:val="1"/>
        <w:rPr>
          <w:rFonts w:ascii="Times New Roman" w:hAnsi="Times New Roman" w:cs="Times New Roman"/>
          <w:sz w:val="28"/>
          <w:szCs w:val="28"/>
        </w:rPr>
      </w:pPr>
      <w:r w:rsidRPr="000D66A9">
        <w:rPr>
          <w:rFonts w:ascii="Times New Roman" w:hAnsi="Times New Roman" w:cs="Times New Roman"/>
          <w:sz w:val="28"/>
          <w:szCs w:val="28"/>
        </w:rPr>
        <w:t xml:space="preserve">1. </w:t>
      </w:r>
      <w:r w:rsidRPr="008177FB">
        <w:rPr>
          <w:rFonts w:ascii="Times New Roman" w:hAnsi="Times New Roman" w:cs="Times New Roman"/>
          <w:sz w:val="28"/>
          <w:szCs w:val="28"/>
        </w:rPr>
        <w:t>Общая характеристика сферы реализации муниципальной программы</w:t>
      </w:r>
    </w:p>
    <w:p w:rsidR="007126EF" w:rsidRPr="00D31553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D31553">
        <w:rPr>
          <w:rFonts w:ascii="Times New Roman" w:hAnsi="Times New Roman" w:cs="Times New Roman"/>
          <w:sz w:val="28"/>
          <w:szCs w:val="28"/>
        </w:rPr>
        <w:t xml:space="preserve">Устойчивая динамика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D31553">
        <w:rPr>
          <w:rFonts w:ascii="Times New Roman" w:hAnsi="Times New Roman" w:cs="Times New Roman"/>
          <w:sz w:val="28"/>
          <w:szCs w:val="28"/>
        </w:rPr>
        <w:t>а последних лет позволила сохранить высокие результаты в реальном секторе экономики и социальной сфере в 2022 году.</w:t>
      </w:r>
    </w:p>
    <w:p w:rsidR="007126EF" w:rsidRPr="00843F94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843F94">
        <w:rPr>
          <w:rFonts w:ascii="Times New Roman" w:hAnsi="Times New Roman" w:cs="Times New Roman"/>
          <w:sz w:val="28"/>
          <w:szCs w:val="28"/>
        </w:rPr>
        <w:t>Главная задача администрации округа состоит в реализации мероприятий, направленных на повышение уровня и качества жизни населения округа, за счет формирования благоприятного социального климата для деятельности и здорового образа жизни населения, а также содействие занятости населения.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в округе новой структуры экономики, благоприятных условий для привлечения инвестиций, улучшение работы учреждений образования, здравоохранения, культуры достигается посредством реализации комплекса </w:t>
      </w:r>
      <w:r w:rsidRPr="00294CED">
        <w:rPr>
          <w:rFonts w:ascii="Times New Roman" w:hAnsi="Times New Roman" w:cs="Times New Roman"/>
          <w:sz w:val="28"/>
          <w:szCs w:val="28"/>
        </w:rPr>
        <w:t>программ округа. В</w:t>
      </w:r>
      <w:r>
        <w:rPr>
          <w:rFonts w:ascii="Times New Roman" w:hAnsi="Times New Roman" w:cs="Times New Roman"/>
          <w:sz w:val="28"/>
          <w:szCs w:val="28"/>
        </w:rPr>
        <w:t xml:space="preserve"> 2022 году исполнялись 22 </w:t>
      </w:r>
      <w:r w:rsidR="006930DC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программы по ключевым направлениям развития с объемом 932,3 млн. руб., что составляет 88% от объема расходов консолидированного </w:t>
      </w:r>
      <w:r w:rsidRPr="00677A55">
        <w:rPr>
          <w:rFonts w:ascii="Times New Roman" w:hAnsi="Times New Roman" w:cs="Times New Roman"/>
          <w:sz w:val="28"/>
          <w:szCs w:val="28"/>
        </w:rPr>
        <w:t xml:space="preserve">бюджета округа. </w:t>
      </w:r>
      <w:r>
        <w:rPr>
          <w:rFonts w:ascii="Times New Roman" w:hAnsi="Times New Roman" w:cs="Times New Roman"/>
          <w:sz w:val="28"/>
          <w:szCs w:val="28"/>
        </w:rPr>
        <w:t>Бюджетные инвестиции в рамках программ способствуют созданию в округе современной транспортной, инженерной и коммунальной инфраструктуры, повышению качества объектов социальной сферы.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2022 год освоено 1,2 млрд. руб. инвестиций, из которых наибольший удельный вес 80% приходится на развитие сельскохозяйственного производства округа. В последние годы отрасль сельского хозяйства демонстрирует устойчивую динамику роста производства. От результатов труда сельскохозяйственных предприятий зависит и развитие социальной сферы, и благоустройство поселений, и занятость населения. По итогам 2022 года произведено 86 тыс. т зерна в физическом весе – это наилучший показатель за более чем 50-ти летнюю историю развития сельского хозяйства округа. 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Продолжается развиваться интенсивное садоводство. Площадь многолетних насаждений составляет более 1 тыс. га, валовый сбор плодовых культур в 2022 году составил 3,5 тыс. тонн.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долю продукции животноводства приходится почти 70% от валового объема производства продукции сельского хозяйства. В 2022 году производство мясо индейки составило 73,5 тыс. тонн.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Первомайский муниципальный округ участвует в реализации пилотного проекта «Цифровое село». Сельские жители получили возможность снимать наличные с банковской карты в 9 точках продаж (7 населенных пунктов). Запущены 2 маршрута передвижного пункта кассового обслуживания Сбербанка в сельских населенных пунктах.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промышленного производства Первомайского муниципального округа  составляет  более 6% от областного показателя. Более 97% объема реализованной продукции промышленности приходится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пищевую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Хоботовское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Крахмалопродукт</w:t>
      </w:r>
      <w:proofErr w:type="spellEnd"/>
      <w:r>
        <w:rPr>
          <w:rFonts w:ascii="Times New Roman" w:hAnsi="Times New Roman" w:cs="Times New Roman"/>
          <w:sz w:val="28"/>
          <w:szCs w:val="28"/>
        </w:rPr>
        <w:t>» - старейшее предприятие округа (1903г.) и самый крупный налогоплательщик. Объем реализованной продукции данного предприятия за 2022 год увеличен на 42 % по сравнению с 2021 годом и составил почти 5 млрд. рублей.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B020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и молодое предприятие по производству кормового белк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664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Агрофермент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Предприятие решает стратегически важный сегодня вопрос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столь необходимых для аграриев биологически активных веществ. Объём реализованной продукции данного предприятия за 2022 год увеличился на 16% по сравнению с прошлым годом и составил 127,3 млн. рублей.</w:t>
      </w:r>
    </w:p>
    <w:p w:rsidR="007126EF" w:rsidRPr="00677A55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жизни населения муниципального округа зависит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состояния экономики, доходной базы консолидированного </w:t>
      </w:r>
      <w:r w:rsidRPr="00677A55">
        <w:rPr>
          <w:rFonts w:ascii="Times New Roman" w:hAnsi="Times New Roman" w:cs="Times New Roman"/>
          <w:sz w:val="28"/>
          <w:szCs w:val="28"/>
        </w:rPr>
        <w:t>бюджета округа.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2022 год,</w:t>
      </w:r>
      <w:r w:rsidRPr="00967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консолидированный бюджет округа по налоговым и неналоговым доходам и сборам (собственным доходам) исполнены в объеме 330 млн. руб., с приростом к прошлому году на 23%. По  сравнению с 2021 годом общая сумма поступлений в консолидированный бюджет возросла на 408,1 млн. руб. или на 58,8% и составила 1,1 млрд. рублей. </w:t>
      </w:r>
      <w:proofErr w:type="gramEnd"/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64EB0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r w:rsidR="00664EB0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составили 1 млрд. руб., что на 49% выше уровня прошлого года. Основной удельный вес в расходах бюджета занимают отрасли социально-культурной  сферы, на финансирование которых направлено 56% от общего объема расходов.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Потребительский рынок Первомайского муниципального округа формирует около 10% валового продукта и способствует улучшению занятости </w:t>
      </w:r>
      <w:r w:rsidRPr="00C13A13">
        <w:rPr>
          <w:rFonts w:ascii="Times New Roman" w:hAnsi="Times New Roman" w:cs="Times New Roman"/>
          <w:sz w:val="28"/>
          <w:szCs w:val="28"/>
        </w:rPr>
        <w:t>населения, только за последние два года в этой сфере создано 44 новых рабочих места.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потребительском рынке округа сохраняется положительная тенденция устойчивого роста оборота розничной торговли, это связано с увеличением денежных доходов населения. Оборот розничной торговли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предприятиям, не относящимся к субъектам малого предпринимательства по итогам 2022 года составил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1,9 млрд. руб. с ростом 120,2% к уровню прошлого года. Фактическая обеспеченность торговыми площадями на 32,3% выше установленного норматива.</w:t>
      </w:r>
    </w:p>
    <w:p w:rsidR="007126EF" w:rsidRDefault="007126EF" w:rsidP="007126E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Сформирована достаточно развитая инфраструктура потребительского рынка, которая характеризуется стабильностью, обеспечивает территориальную доступность и бесперебойное снабжение населения продовольствием, товарами и услугами первой необходимости.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По состоянию на 01.01.2023 на потребительском рынке действует 201 предприятие розничной торговли, в том числе аптеки и аптечные магазины. Осуществляют деятельность 34 предприятия общественного питания, из них 14 общедоступные. 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структуре предприятий торговли округа преобладают предприятия, реализующие продовольственные товары.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Ценовая ситуация на продовольственном рынке округа находится под постоянным контролем администрации муниципального округа. Результативность проводимой работы отражается данными мониторинга ценовой ситуации на потребительском рынке продовольственных товаров, проводимого в целях предотвращения необоснованного роста цен.</w:t>
      </w:r>
    </w:p>
    <w:p w:rsidR="007126EF" w:rsidRPr="00B62983" w:rsidRDefault="007126EF" w:rsidP="007126EF">
      <w:pPr>
        <w:rPr>
          <w:sz w:val="28"/>
          <w:szCs w:val="28"/>
        </w:rPr>
      </w:pPr>
      <w:proofErr w:type="gramStart"/>
      <w:r w:rsidRPr="00AA50C3">
        <w:rPr>
          <w:sz w:val="28"/>
          <w:szCs w:val="28"/>
        </w:rPr>
        <w:t xml:space="preserve">В 2022 году была продолжена работа по развитию и поддержке малого и среднего предпринимательства, которая проводилась в соответствии с </w:t>
      </w:r>
      <w:hyperlink r:id="rId9" w:history="1">
        <w:r w:rsidRPr="00AA50C3">
          <w:rPr>
            <w:rStyle w:val="a7"/>
            <w:sz w:val="28"/>
            <w:szCs w:val="28"/>
          </w:rPr>
          <w:t>Федеральным законом</w:t>
        </w:r>
      </w:hyperlink>
      <w:r w:rsidRPr="00AA50C3">
        <w:rPr>
          <w:sz w:val="28"/>
          <w:szCs w:val="28"/>
        </w:rPr>
        <w:t xml:space="preserve"> от 24.07.2007 N 209-ФЗ "О развитии малого и среднего предпринимательства в Российской Федерации", Указами и поручениями Президента Российской Федерации, </w:t>
      </w:r>
      <w:hyperlink r:id="rId10" w:history="1">
        <w:r w:rsidRPr="00AA50C3">
          <w:rPr>
            <w:rStyle w:val="a7"/>
            <w:sz w:val="28"/>
            <w:szCs w:val="28"/>
          </w:rPr>
          <w:t>Национальным проектом</w:t>
        </w:r>
      </w:hyperlink>
      <w:r w:rsidRPr="00AA50C3">
        <w:rPr>
          <w:sz w:val="28"/>
          <w:szCs w:val="28"/>
        </w:rPr>
        <w:t xml:space="preserve"> "Малое и среднее предпринимательство и поддержка индивидуальной предпринимательской инициативы".</w:t>
      </w:r>
      <w:proofErr w:type="gramEnd"/>
      <w:r w:rsidRPr="00AA50C3">
        <w:rPr>
          <w:sz w:val="28"/>
          <w:szCs w:val="28"/>
        </w:rPr>
        <w:t xml:space="preserve"> Основной задачей Национального </w:t>
      </w:r>
      <w:r w:rsidRPr="00AA50C3">
        <w:rPr>
          <w:sz w:val="28"/>
          <w:szCs w:val="28"/>
        </w:rPr>
        <w:lastRenderedPageBreak/>
        <w:t xml:space="preserve">проекта "Малое и среднее предпринимательство и поддержка индивидуальной предпринимательской инициативы" является увеличение численности занятых у субъектов малого и среднего предпринимательства, включая индивидуальных предпринимателей и </w:t>
      </w:r>
      <w:proofErr w:type="spellStart"/>
      <w:r w:rsidRPr="00AA50C3">
        <w:rPr>
          <w:sz w:val="28"/>
          <w:szCs w:val="28"/>
        </w:rPr>
        <w:t>самозанятых</w:t>
      </w:r>
      <w:proofErr w:type="spellEnd"/>
      <w:r w:rsidRPr="00AA50C3">
        <w:rPr>
          <w:sz w:val="28"/>
          <w:szCs w:val="28"/>
        </w:rPr>
        <w:t>.</w:t>
      </w:r>
      <w:r>
        <w:rPr>
          <w:color w:val="0070C0"/>
        </w:rPr>
        <w:t xml:space="preserve"> </w:t>
      </w:r>
      <w:r w:rsidRPr="00AA50C3">
        <w:rPr>
          <w:sz w:val="28"/>
          <w:szCs w:val="28"/>
        </w:rPr>
        <w:t xml:space="preserve">По итогам 2022 года указанный показатель составил 887 человек, что выше планового </w:t>
      </w:r>
      <w:r w:rsidRPr="00B62983">
        <w:rPr>
          <w:sz w:val="28"/>
          <w:szCs w:val="28"/>
        </w:rPr>
        <w:t>значения на 1%.</w:t>
      </w:r>
    </w:p>
    <w:p w:rsidR="007126EF" w:rsidRPr="00AA50C3" w:rsidRDefault="007126EF" w:rsidP="007126EF">
      <w:pPr>
        <w:rPr>
          <w:sz w:val="28"/>
          <w:szCs w:val="28"/>
        </w:rPr>
      </w:pPr>
      <w:proofErr w:type="gramStart"/>
      <w:r w:rsidRPr="00AA50C3">
        <w:rPr>
          <w:sz w:val="28"/>
          <w:szCs w:val="28"/>
        </w:rPr>
        <w:t>Целью регионального проекта "Акселерация субъектов малого и среднего предпринимательства" является создание системы акселерации субъектов малого и среднего предпринимательства, включающей в себя финансовые и налоговые инструменты поддержки субъектов малого и среднего предпринимательства, в том числе осуществляющих деятельность в сфере АПК, инфраструктуру для комфортной работы и развития субъектов малого и среднего предпринимательства, доступ к крупнейшим заказчикам.</w:t>
      </w:r>
      <w:proofErr w:type="gramEnd"/>
    </w:p>
    <w:p w:rsidR="007126EF" w:rsidRPr="0039041C" w:rsidRDefault="007126EF" w:rsidP="007126EF">
      <w:pPr>
        <w:rPr>
          <w:sz w:val="28"/>
          <w:szCs w:val="28"/>
        </w:rPr>
      </w:pPr>
      <w:r w:rsidRPr="00AA50C3">
        <w:rPr>
          <w:sz w:val="28"/>
          <w:szCs w:val="28"/>
        </w:rPr>
        <w:t xml:space="preserve">Региональный проект "Создание условий для легкого старта и комфортного ведения бизнеса" направлен на вовлечение граждан в предпринимательскую деятельность и взаимодействие с начинающими </w:t>
      </w:r>
      <w:r w:rsidRPr="0039041C">
        <w:rPr>
          <w:sz w:val="28"/>
          <w:szCs w:val="28"/>
        </w:rPr>
        <w:t>предпринимателями.</w:t>
      </w:r>
    </w:p>
    <w:p w:rsidR="007126EF" w:rsidRPr="00AA50C3" w:rsidRDefault="007126EF" w:rsidP="007126EF">
      <w:pPr>
        <w:rPr>
          <w:sz w:val="28"/>
          <w:szCs w:val="28"/>
        </w:rPr>
      </w:pPr>
      <w:proofErr w:type="gramStart"/>
      <w:r w:rsidRPr="0039041C">
        <w:rPr>
          <w:sz w:val="28"/>
          <w:szCs w:val="28"/>
        </w:rPr>
        <w:t xml:space="preserve">В рамках регионального проекта предусмотрено оказание мер государственной </w:t>
      </w:r>
      <w:r w:rsidRPr="00AA50C3">
        <w:rPr>
          <w:sz w:val="28"/>
          <w:szCs w:val="28"/>
        </w:rPr>
        <w:t xml:space="preserve">поддержки субъектам малого и среднего предпринимательства, включенным в реестр социальных предпринимателей, субъектам малого и среднего предпринимательства, </w:t>
      </w:r>
      <w:r>
        <w:rPr>
          <w:sz w:val="28"/>
          <w:szCs w:val="28"/>
        </w:rPr>
        <w:t>су</w:t>
      </w:r>
      <w:r w:rsidRPr="00AA50C3">
        <w:rPr>
          <w:sz w:val="28"/>
          <w:szCs w:val="28"/>
        </w:rPr>
        <w:t>бъектам малого и среднего предпринимательства, созданным физическими лицами в возрасте от 25 лет включительно, которым предоставлен комплекс услуг и (или) финансовая поддержка в виде гранта, а также гражданам, желающим вести бизнес, начинающим и действующим предпринимателям в</w:t>
      </w:r>
      <w:proofErr w:type="gramEnd"/>
      <w:r w:rsidRPr="00AA50C3">
        <w:rPr>
          <w:sz w:val="28"/>
          <w:szCs w:val="28"/>
        </w:rPr>
        <w:t xml:space="preserve"> </w:t>
      </w:r>
      <w:proofErr w:type="gramStart"/>
      <w:r w:rsidRPr="00AA50C3">
        <w:rPr>
          <w:sz w:val="28"/>
          <w:szCs w:val="28"/>
        </w:rPr>
        <w:t>виде комплекса услуг, направленных на вовлечение в предпринимательскую деятельность, в том числе информационно-консультационных и образовательных услуг в офлайн и онлайн форматах на единой площадке региональной инфраструктуры поддержки бизнеса по единым требованиям к оказанию поддержки, а также в федеральных институтах развития.</w:t>
      </w:r>
      <w:proofErr w:type="gramEnd"/>
    </w:p>
    <w:p w:rsidR="007126EF" w:rsidRPr="001C2B6E" w:rsidRDefault="007126EF" w:rsidP="007126EF">
      <w:pPr>
        <w:rPr>
          <w:sz w:val="28"/>
          <w:szCs w:val="28"/>
        </w:rPr>
      </w:pPr>
      <w:r w:rsidRPr="001C2B6E">
        <w:rPr>
          <w:sz w:val="28"/>
          <w:szCs w:val="28"/>
        </w:rPr>
        <w:t xml:space="preserve">Целью регионального проекта "Создание благоприятных условий для осуществления деятельности </w:t>
      </w:r>
      <w:proofErr w:type="spellStart"/>
      <w:r w:rsidRPr="001C2B6E">
        <w:rPr>
          <w:sz w:val="28"/>
          <w:szCs w:val="28"/>
        </w:rPr>
        <w:t>самозанятыми</w:t>
      </w:r>
      <w:proofErr w:type="spellEnd"/>
      <w:r w:rsidRPr="001C2B6E">
        <w:rPr>
          <w:sz w:val="28"/>
          <w:szCs w:val="28"/>
        </w:rPr>
        <w:t xml:space="preserve"> гражданами" является оказание мер государственной поддержки </w:t>
      </w:r>
      <w:proofErr w:type="spellStart"/>
      <w:r w:rsidRPr="001C2B6E">
        <w:rPr>
          <w:sz w:val="28"/>
          <w:szCs w:val="28"/>
        </w:rPr>
        <w:t>самозанятым</w:t>
      </w:r>
      <w:proofErr w:type="spellEnd"/>
      <w:r w:rsidRPr="001C2B6E">
        <w:rPr>
          <w:sz w:val="28"/>
          <w:szCs w:val="28"/>
        </w:rPr>
        <w:t xml:space="preserve"> гражданам в виде предоставления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 и онлайн форматах.</w:t>
      </w:r>
    </w:p>
    <w:p w:rsidR="00DF1B26" w:rsidRDefault="007126EF" w:rsidP="007126EF">
      <w:pPr>
        <w:rPr>
          <w:sz w:val="28"/>
          <w:szCs w:val="28"/>
        </w:rPr>
      </w:pPr>
      <w:r w:rsidRPr="005A2E23">
        <w:rPr>
          <w:sz w:val="28"/>
          <w:szCs w:val="28"/>
        </w:rPr>
        <w:t xml:space="preserve">В соответствии с </w:t>
      </w:r>
      <w:hyperlink r:id="rId11" w:history="1">
        <w:r w:rsidRPr="005A2E23">
          <w:rPr>
            <w:rStyle w:val="a7"/>
            <w:sz w:val="28"/>
            <w:szCs w:val="28"/>
          </w:rPr>
          <w:t>Законом</w:t>
        </w:r>
      </w:hyperlink>
      <w:r w:rsidRPr="005A2E23">
        <w:rPr>
          <w:sz w:val="28"/>
          <w:szCs w:val="28"/>
        </w:rPr>
        <w:t xml:space="preserve"> Тамбовской области от 03.08.2020 N 514-З "О введении в действие на территории Тамбовской области специального налогового режима "Налог на профессиональный доход" на территории округа</w:t>
      </w:r>
      <w:r w:rsidR="00DF1B26">
        <w:rPr>
          <w:sz w:val="28"/>
          <w:szCs w:val="28"/>
        </w:rPr>
        <w:t xml:space="preserve"> </w:t>
      </w:r>
      <w:r w:rsidRPr="005A2E23">
        <w:rPr>
          <w:sz w:val="28"/>
          <w:szCs w:val="28"/>
        </w:rPr>
        <w:t xml:space="preserve"> зарегистрировано </w:t>
      </w:r>
      <w:r w:rsidR="00DF1B26">
        <w:rPr>
          <w:sz w:val="28"/>
          <w:szCs w:val="28"/>
        </w:rPr>
        <w:t xml:space="preserve"> </w:t>
      </w:r>
      <w:r w:rsidRPr="005A2E23">
        <w:rPr>
          <w:sz w:val="28"/>
          <w:szCs w:val="28"/>
        </w:rPr>
        <w:t xml:space="preserve">в качестве </w:t>
      </w:r>
      <w:r w:rsidR="00DF1B26">
        <w:rPr>
          <w:sz w:val="28"/>
          <w:szCs w:val="28"/>
        </w:rPr>
        <w:t xml:space="preserve"> </w:t>
      </w:r>
      <w:proofErr w:type="spellStart"/>
      <w:r w:rsidRPr="005A2E23">
        <w:rPr>
          <w:sz w:val="28"/>
          <w:szCs w:val="28"/>
        </w:rPr>
        <w:t>самозанятых</w:t>
      </w:r>
      <w:proofErr w:type="spellEnd"/>
      <w:r w:rsidR="00DF1B26">
        <w:rPr>
          <w:sz w:val="28"/>
          <w:szCs w:val="28"/>
        </w:rPr>
        <w:t xml:space="preserve">  </w:t>
      </w:r>
      <w:r w:rsidRPr="005A2E23">
        <w:rPr>
          <w:sz w:val="28"/>
          <w:szCs w:val="28"/>
        </w:rPr>
        <w:t xml:space="preserve">граждан </w:t>
      </w:r>
      <w:r w:rsidR="00DF1B26">
        <w:rPr>
          <w:sz w:val="28"/>
          <w:szCs w:val="28"/>
        </w:rPr>
        <w:t xml:space="preserve"> </w:t>
      </w:r>
      <w:r w:rsidRPr="005A2E23">
        <w:rPr>
          <w:sz w:val="28"/>
          <w:szCs w:val="28"/>
        </w:rPr>
        <w:t>на</w:t>
      </w:r>
      <w:r>
        <w:rPr>
          <w:sz w:val="28"/>
          <w:szCs w:val="28"/>
        </w:rPr>
        <w:t xml:space="preserve"> 01.01.2023г. </w:t>
      </w:r>
    </w:p>
    <w:p w:rsidR="007126EF" w:rsidRPr="00DF1B26" w:rsidRDefault="007126EF" w:rsidP="00DF1B26">
      <w:pPr>
        <w:ind w:firstLine="0"/>
        <w:rPr>
          <w:color w:val="FF0000"/>
          <w:sz w:val="28"/>
          <w:szCs w:val="28"/>
        </w:rPr>
      </w:pPr>
      <w:r w:rsidRPr="00C66348">
        <w:rPr>
          <w:sz w:val="28"/>
          <w:szCs w:val="28"/>
        </w:rPr>
        <w:t>681</w:t>
      </w:r>
      <w:r w:rsidRPr="00C66348">
        <w:t xml:space="preserve"> </w:t>
      </w:r>
      <w:r w:rsidRPr="00DF1B26">
        <w:rPr>
          <w:sz w:val="28"/>
          <w:szCs w:val="28"/>
        </w:rPr>
        <w:t>человек.</w:t>
      </w:r>
    </w:p>
    <w:p w:rsidR="007126EF" w:rsidRPr="001C2B6E" w:rsidRDefault="00DF1B26" w:rsidP="007126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7126EF" w:rsidRPr="001C2B6E">
        <w:rPr>
          <w:sz w:val="28"/>
          <w:szCs w:val="28"/>
        </w:rPr>
        <w:t xml:space="preserve">целях формирования максимально комфортной предпринимательской среды в 2017 году в регионе создана "единая точка" </w:t>
      </w:r>
      <w:r w:rsidR="007126EF" w:rsidRPr="001C2B6E">
        <w:rPr>
          <w:sz w:val="28"/>
          <w:szCs w:val="28"/>
        </w:rPr>
        <w:lastRenderedPageBreak/>
        <w:t xml:space="preserve">взаимодействия предпринимателей с государством - деловое пространство "Геометрия бизнеса" (центр "Мой бизнес"), объединяющее все сервисы и меры поддержки малого и среднего предпринимательства на одной площадке и предоставляющие услуги субъектам малого и среднего предпринимательства и </w:t>
      </w:r>
      <w:proofErr w:type="spellStart"/>
      <w:r w:rsidR="007126EF" w:rsidRPr="001C2B6E">
        <w:rPr>
          <w:sz w:val="28"/>
          <w:szCs w:val="28"/>
        </w:rPr>
        <w:t>самозанятым</w:t>
      </w:r>
      <w:proofErr w:type="spellEnd"/>
      <w:r w:rsidR="007126EF" w:rsidRPr="001C2B6E">
        <w:rPr>
          <w:sz w:val="28"/>
          <w:szCs w:val="28"/>
        </w:rPr>
        <w:t xml:space="preserve"> гражданам в режиме "одного окна".</w:t>
      </w:r>
      <w:proofErr w:type="gramEnd"/>
    </w:p>
    <w:p w:rsidR="007126EF" w:rsidRPr="001C2B6E" w:rsidRDefault="007126EF" w:rsidP="007126EF">
      <w:pPr>
        <w:rPr>
          <w:sz w:val="28"/>
          <w:szCs w:val="28"/>
        </w:rPr>
      </w:pPr>
      <w:r w:rsidRPr="001C2B6E">
        <w:rPr>
          <w:sz w:val="28"/>
          <w:szCs w:val="28"/>
        </w:rPr>
        <w:t>Оказание комплексных услуг в деловом пространстве "Геометрия бизнеса" осуществляют деятельность следующие структурные подразделения АНО "Центр координации поддержки бизнеса Тамбовской области":</w:t>
      </w:r>
    </w:p>
    <w:p w:rsidR="007126EF" w:rsidRPr="001C2B6E" w:rsidRDefault="007126EF" w:rsidP="007126EF">
      <w:pPr>
        <w:rPr>
          <w:sz w:val="28"/>
          <w:szCs w:val="28"/>
        </w:rPr>
      </w:pPr>
      <w:r w:rsidRPr="001C2B6E">
        <w:rPr>
          <w:sz w:val="28"/>
          <w:szCs w:val="28"/>
        </w:rPr>
        <w:t>центр кластерного развития, осуществляющий разработку и реализацию совместных кластерных проектов с привлечением участников кластеров, учреждений образования и науки, иных заинтересованных лиц;</w:t>
      </w:r>
    </w:p>
    <w:p w:rsidR="007126EF" w:rsidRPr="001C2B6E" w:rsidRDefault="007126EF" w:rsidP="007126EF">
      <w:pPr>
        <w:rPr>
          <w:sz w:val="28"/>
          <w:szCs w:val="28"/>
        </w:rPr>
      </w:pPr>
      <w:r w:rsidRPr="001C2B6E">
        <w:rPr>
          <w:sz w:val="28"/>
          <w:szCs w:val="28"/>
        </w:rPr>
        <w:t>центр координации поддержки экспортно-ориентированных субъектов МСП, содействие в подготовке экспортного предложения и организации участия в выставках за рубежом;</w:t>
      </w:r>
    </w:p>
    <w:p w:rsidR="007126EF" w:rsidRPr="001C2B6E" w:rsidRDefault="007126EF" w:rsidP="007126EF">
      <w:pPr>
        <w:rPr>
          <w:sz w:val="28"/>
          <w:szCs w:val="28"/>
        </w:rPr>
      </w:pPr>
      <w:r w:rsidRPr="001C2B6E">
        <w:rPr>
          <w:sz w:val="28"/>
          <w:szCs w:val="28"/>
        </w:rPr>
        <w:t>региональный центр инжиниринга, оказывающий содействие в повышении технологической готовности субъектов малого и среднего предпринимательства, включая технический аудит, содействие в разработке программ модернизации, технического перевооружения и (или) развития производства.</w:t>
      </w:r>
    </w:p>
    <w:p w:rsidR="007126EF" w:rsidRPr="005029A9" w:rsidRDefault="007126EF" w:rsidP="007126EF">
      <w:pPr>
        <w:rPr>
          <w:sz w:val="28"/>
          <w:szCs w:val="28"/>
        </w:rPr>
      </w:pPr>
      <w:r w:rsidRPr="005029A9">
        <w:rPr>
          <w:sz w:val="28"/>
          <w:szCs w:val="28"/>
        </w:rPr>
        <w:t>Комплекс информационно-консультационных, образовательных, правовых, маркетинговых услуг начинающим и действующим предпринимателям предоставляют центр поддержки предпринимательства и центр инноваций социальной сферы АНО "Региональный центр управления и культуры".</w:t>
      </w:r>
    </w:p>
    <w:p w:rsidR="007126EF" w:rsidRPr="005029A9" w:rsidRDefault="007126EF" w:rsidP="007126EF">
      <w:pPr>
        <w:rPr>
          <w:sz w:val="28"/>
          <w:szCs w:val="28"/>
        </w:rPr>
      </w:pPr>
      <w:r w:rsidRPr="005029A9">
        <w:rPr>
          <w:sz w:val="28"/>
          <w:szCs w:val="28"/>
        </w:rPr>
        <w:t>В целях поддержки субъектов малого и среднего предпринимательства на ранней стадии их деятельности в области функционирует Тамбовский инновационный бизнес-инкубатор АНО "Региональный центр управления и культуры", предоставляющий субъектам малого и среднего предпринимательства нежилых помещений на льготных условиях.</w:t>
      </w:r>
    </w:p>
    <w:p w:rsidR="007126EF" w:rsidRPr="005029A9" w:rsidRDefault="007126EF" w:rsidP="007126EF">
      <w:pPr>
        <w:rPr>
          <w:sz w:val="28"/>
          <w:szCs w:val="28"/>
        </w:rPr>
      </w:pPr>
      <w:r w:rsidRPr="005029A9">
        <w:rPr>
          <w:sz w:val="28"/>
          <w:szCs w:val="28"/>
        </w:rPr>
        <w:t xml:space="preserve">В целях облегчения доступа малого бизнеса к финансовым ресурсам продолжают работу АО </w:t>
      </w:r>
      <w:proofErr w:type="spellStart"/>
      <w:r w:rsidRPr="005029A9">
        <w:rPr>
          <w:sz w:val="28"/>
          <w:szCs w:val="28"/>
        </w:rPr>
        <w:t>Микрокредитная</w:t>
      </w:r>
      <w:proofErr w:type="spellEnd"/>
      <w:r w:rsidRPr="005029A9">
        <w:rPr>
          <w:sz w:val="28"/>
          <w:szCs w:val="28"/>
        </w:rPr>
        <w:t xml:space="preserve"> компания "Фонд содействия кредитованию малого и среднего предпринимательства Тамбовской области" и Фонд поддержки предпринимательства Тамбовской области (</w:t>
      </w:r>
      <w:proofErr w:type="spellStart"/>
      <w:r w:rsidRPr="005029A9">
        <w:rPr>
          <w:sz w:val="28"/>
          <w:szCs w:val="28"/>
        </w:rPr>
        <w:t>Микрокредитная</w:t>
      </w:r>
      <w:proofErr w:type="spellEnd"/>
      <w:r w:rsidRPr="005029A9">
        <w:rPr>
          <w:sz w:val="28"/>
          <w:szCs w:val="28"/>
        </w:rPr>
        <w:t xml:space="preserve"> компания), которые предоставляют льготные </w:t>
      </w:r>
      <w:proofErr w:type="spellStart"/>
      <w:r w:rsidRPr="005029A9">
        <w:rPr>
          <w:sz w:val="28"/>
          <w:szCs w:val="28"/>
        </w:rPr>
        <w:t>микрозаймы</w:t>
      </w:r>
      <w:proofErr w:type="spellEnd"/>
      <w:r w:rsidRPr="005029A9">
        <w:rPr>
          <w:sz w:val="28"/>
          <w:szCs w:val="28"/>
        </w:rPr>
        <w:t xml:space="preserve"> и поручительства субъектам малого и среднего предпринимательства.</w:t>
      </w:r>
    </w:p>
    <w:p w:rsidR="007126EF" w:rsidRPr="000072CD" w:rsidRDefault="007126EF" w:rsidP="007126EF">
      <w:pPr>
        <w:rPr>
          <w:sz w:val="28"/>
          <w:szCs w:val="28"/>
        </w:rPr>
      </w:pPr>
      <w:r w:rsidRPr="000072CD">
        <w:rPr>
          <w:sz w:val="28"/>
          <w:szCs w:val="28"/>
        </w:rPr>
        <w:t>Вместе с тем сохраняется ряд проблем.</w:t>
      </w:r>
    </w:p>
    <w:p w:rsidR="007126EF" w:rsidRPr="00FC47FC" w:rsidRDefault="007126EF" w:rsidP="007126EF">
      <w:pPr>
        <w:rPr>
          <w:sz w:val="28"/>
          <w:szCs w:val="28"/>
        </w:rPr>
      </w:pPr>
      <w:r w:rsidRPr="000072CD">
        <w:rPr>
          <w:sz w:val="28"/>
          <w:szCs w:val="28"/>
        </w:rPr>
        <w:t>В 2020 - 2022 годы социально</w:t>
      </w:r>
      <w:r w:rsidRPr="00FC47FC">
        <w:rPr>
          <w:sz w:val="28"/>
          <w:szCs w:val="28"/>
        </w:rPr>
        <w:t>-экономическое развитие округа находилось под влиянием высокого уровня неопределенности, связанного с эпидемиологической ситуацией и сложными внешнеэкономическими условиями.</w:t>
      </w:r>
    </w:p>
    <w:p w:rsidR="007126EF" w:rsidRPr="00D507D3" w:rsidRDefault="007126EF" w:rsidP="007126EF">
      <w:pPr>
        <w:rPr>
          <w:sz w:val="28"/>
          <w:szCs w:val="28"/>
        </w:rPr>
      </w:pPr>
      <w:r w:rsidRPr="00FC47FC">
        <w:rPr>
          <w:sz w:val="28"/>
          <w:szCs w:val="28"/>
        </w:rPr>
        <w:t>Субъекты малого и среднего предпринимательства в сферах торговли и предоставления услуг населению в период действия карантинных мер столкнулись с наибольшим с</w:t>
      </w:r>
      <w:r>
        <w:rPr>
          <w:sz w:val="28"/>
          <w:szCs w:val="28"/>
        </w:rPr>
        <w:t>нижением выручки. По итогам 2022</w:t>
      </w:r>
      <w:r w:rsidRPr="00FC47FC">
        <w:rPr>
          <w:sz w:val="28"/>
          <w:szCs w:val="28"/>
        </w:rPr>
        <w:t xml:space="preserve"> года в о</w:t>
      </w:r>
      <w:r>
        <w:rPr>
          <w:sz w:val="28"/>
          <w:szCs w:val="28"/>
        </w:rPr>
        <w:t>круге</w:t>
      </w:r>
      <w:r w:rsidRPr="00FC47FC">
        <w:rPr>
          <w:sz w:val="28"/>
          <w:szCs w:val="28"/>
        </w:rPr>
        <w:t xml:space="preserve"> зафиксировано </w:t>
      </w:r>
      <w:r>
        <w:rPr>
          <w:sz w:val="28"/>
          <w:szCs w:val="28"/>
        </w:rPr>
        <w:t>сохранение количества</w:t>
      </w:r>
      <w:r w:rsidRPr="00FC47FC">
        <w:rPr>
          <w:sz w:val="28"/>
          <w:szCs w:val="28"/>
        </w:rPr>
        <w:t xml:space="preserve"> субъектов малого и среднего </w:t>
      </w:r>
      <w:r w:rsidRPr="00FC47FC">
        <w:rPr>
          <w:sz w:val="28"/>
          <w:szCs w:val="28"/>
        </w:rPr>
        <w:lastRenderedPageBreak/>
        <w:t>предпринимательства</w:t>
      </w:r>
      <w:r>
        <w:rPr>
          <w:color w:val="0070C0"/>
        </w:rPr>
        <w:t xml:space="preserve"> </w:t>
      </w:r>
      <w:r w:rsidRPr="00D507D3">
        <w:rPr>
          <w:sz w:val="28"/>
          <w:szCs w:val="28"/>
        </w:rPr>
        <w:t xml:space="preserve">(470 единиц). </w:t>
      </w:r>
    </w:p>
    <w:p w:rsidR="007126EF" w:rsidRPr="009134F2" w:rsidRDefault="007126EF" w:rsidP="007126EF">
      <w:pPr>
        <w:rPr>
          <w:sz w:val="28"/>
          <w:szCs w:val="28"/>
        </w:rPr>
      </w:pPr>
      <w:r w:rsidRPr="009134F2">
        <w:rPr>
          <w:sz w:val="28"/>
          <w:szCs w:val="28"/>
        </w:rPr>
        <w:t>Несмотря на свою направленность на развитие экономики и и</w:t>
      </w:r>
      <w:r>
        <w:rPr>
          <w:sz w:val="28"/>
          <w:szCs w:val="28"/>
        </w:rPr>
        <w:t>нновационной сферы в 2020 - 2021</w:t>
      </w:r>
      <w:r w:rsidRPr="009134F2">
        <w:rPr>
          <w:sz w:val="28"/>
          <w:szCs w:val="28"/>
        </w:rPr>
        <w:t xml:space="preserve"> годы государственная программа сыграла важную роль в финансовом обеспечении реализации мероприятий по минимизации кризисных явлений в экономике. Были предоставлены льготные кредиты субъектам малого и среднего бизнеса и системообразующим предприятиям, </w:t>
      </w:r>
      <w:proofErr w:type="spellStart"/>
      <w:r w:rsidRPr="009134F2">
        <w:rPr>
          <w:sz w:val="28"/>
          <w:szCs w:val="28"/>
        </w:rPr>
        <w:t>самозанятым</w:t>
      </w:r>
      <w:proofErr w:type="spellEnd"/>
      <w:r w:rsidRPr="009134F2">
        <w:rPr>
          <w:sz w:val="28"/>
          <w:szCs w:val="28"/>
        </w:rPr>
        <w:t xml:space="preserve"> гражданам.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Среднемесячная номинальная заработная  плата по округу за 2022 год  составила 42,6 тыс. руб., на 10,2% выше уровня прошлого года.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 видам экономической деятельности в разрезе крупных и средних организаций в расчете на одного работника наибольший рост заработной платы к уровню прошлого года наблюдается в разделе «Предоставление прочих видов услуг» - 149,6%; «Деятельность финансовая и страховая» - 121,6%; «Деятельность гостиниц и предприятий общественного питания» - 121,3%.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Среднемесячная заработная плата в округе в 3,8 раза превышает прожиточный минимум для трудоспособного населения в целом по области.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2022 году в полном объеме выполнены мероприятия, направленные на выполнение указов Президента Российской Федерации по обеспечению стабильного роста реальной заработной платы в округе. Реализован комплекс мер по обеспечению роста заработной платы в реальном секторе экономики, включая постоянный мониторинг своевременной выплаты заработной платы работникам, проведению мероприятий по легализации «теневой» заработной платы.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Выполняется задача по повышению эффективности и качества предоставления услуг в сфере занятости населения, а также реализации дополнительных мер обеспечения снижения напряженности на рынке труда. Эти меры  позволили обеспечить уровень регистрируемой безработицы на начало 2023 года в размере 0,46 % от экономически активного населения. 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Позитивным изменениям в экономике муниципального округа способствовали реализуемые меры, направленные на стимулирование экономической активности и экономического роста, на улучшение предпринимательского климата, повышение качества государственного и муниципального управления.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Администрацией муниципального округа уделяется особое внимание работе по привлечению инвестиций в экономику округа.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Инвестиционную привлекательность округу обеспечивают наличие свободных земельных участков, низкая стоимость аренды или выкупа земельных участков, наличие сети газопроводов высокого давления, наличие квалифицированной рабочей силы.</w:t>
      </w:r>
    </w:p>
    <w:p w:rsidR="007126EF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Развитие экономики, промышленных производств, образования, здравоохранения, предпринимательства невозможно без эффективной инновационной системы.</w:t>
      </w:r>
    </w:p>
    <w:p w:rsidR="007126EF" w:rsidRPr="00CD0738" w:rsidRDefault="007126EF" w:rsidP="007126EF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Анализ инновационной деятельности показал, что в Первомайском муниципальном округе имеются предпосылки для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738">
        <w:rPr>
          <w:rFonts w:ascii="Times New Roman" w:hAnsi="Times New Roman" w:cs="Times New Roman"/>
          <w:color w:val="auto"/>
          <w:sz w:val="28"/>
          <w:szCs w:val="28"/>
        </w:rPr>
        <w:t>активизации, проявляющиеся в имеющемся производственном потенциале. Основные трудности в реализации инновационного потенциала связаны с дефицитом денежных сре</w:t>
      </w:r>
      <w:proofErr w:type="gramStart"/>
      <w:r w:rsidRPr="00CD0738">
        <w:rPr>
          <w:rFonts w:ascii="Times New Roman" w:hAnsi="Times New Roman" w:cs="Times New Roman"/>
          <w:color w:val="auto"/>
          <w:sz w:val="28"/>
          <w:szCs w:val="28"/>
        </w:rPr>
        <w:t>дств пр</w:t>
      </w:r>
      <w:proofErr w:type="gramEnd"/>
      <w:r w:rsidRPr="00CD0738">
        <w:rPr>
          <w:rFonts w:ascii="Times New Roman" w:hAnsi="Times New Roman" w:cs="Times New Roman"/>
          <w:color w:val="auto"/>
          <w:sz w:val="28"/>
          <w:szCs w:val="28"/>
        </w:rPr>
        <w:t>едприятий.</w:t>
      </w:r>
    </w:p>
    <w:p w:rsidR="007126EF" w:rsidRPr="00C6369D" w:rsidRDefault="007126EF" w:rsidP="007126EF">
      <w:pPr>
        <w:rPr>
          <w:sz w:val="28"/>
          <w:szCs w:val="28"/>
        </w:rPr>
      </w:pPr>
      <w:r w:rsidRPr="00C6369D">
        <w:rPr>
          <w:sz w:val="28"/>
          <w:szCs w:val="28"/>
        </w:rPr>
        <w:t>Продолжилась работа и по совершенствованию муниципального управления.</w:t>
      </w:r>
    </w:p>
    <w:p w:rsidR="007126EF" w:rsidRPr="00C6369D" w:rsidRDefault="007126EF" w:rsidP="007126EF">
      <w:pPr>
        <w:rPr>
          <w:sz w:val="28"/>
          <w:szCs w:val="28"/>
        </w:rPr>
      </w:pPr>
      <w:r w:rsidRPr="00C6369D">
        <w:rPr>
          <w:sz w:val="28"/>
          <w:szCs w:val="28"/>
        </w:rPr>
        <w:t>В целях развития системы муниципального стратегического анализа, планирования и прогнозирования социально-экономического развития округа осуществлялись:</w:t>
      </w:r>
    </w:p>
    <w:p w:rsidR="007126EF" w:rsidRPr="00C6369D" w:rsidRDefault="007126EF" w:rsidP="007126EF">
      <w:pPr>
        <w:rPr>
          <w:sz w:val="28"/>
          <w:szCs w:val="28"/>
        </w:rPr>
      </w:pPr>
      <w:r w:rsidRPr="00C6369D">
        <w:rPr>
          <w:sz w:val="28"/>
          <w:szCs w:val="28"/>
        </w:rPr>
        <w:t>анализ показателей социально-экономического развития округа - ежеквартально и по итогам года;</w:t>
      </w:r>
    </w:p>
    <w:p w:rsidR="007126EF" w:rsidRPr="00632561" w:rsidRDefault="007126EF" w:rsidP="007126EF">
      <w:pPr>
        <w:rPr>
          <w:sz w:val="28"/>
          <w:szCs w:val="28"/>
        </w:rPr>
      </w:pPr>
      <w:r w:rsidRPr="00C6369D">
        <w:rPr>
          <w:sz w:val="28"/>
          <w:szCs w:val="28"/>
        </w:rPr>
        <w:t xml:space="preserve">разработка предварительного и уточненного среднесрочных прогнозов, разработка и актуализация (на основе среднесрочного прогноза) долгосрочного прогноза социально-экономического развития округа. </w:t>
      </w:r>
      <w:r w:rsidRPr="00632561">
        <w:rPr>
          <w:sz w:val="28"/>
          <w:szCs w:val="28"/>
        </w:rPr>
        <w:t>Отклонение основных показателей социально-экономического развития округа по итогам 2022 года составило 87%, что на</w:t>
      </w:r>
      <w:r>
        <w:rPr>
          <w:sz w:val="28"/>
          <w:szCs w:val="28"/>
        </w:rPr>
        <w:t xml:space="preserve"> </w:t>
      </w:r>
      <w:r w:rsidRPr="00632561">
        <w:rPr>
          <w:sz w:val="28"/>
          <w:szCs w:val="28"/>
        </w:rPr>
        <w:t>3 % ниже планового значения показателя.</w:t>
      </w:r>
    </w:p>
    <w:p w:rsidR="007126EF" w:rsidRDefault="007126EF" w:rsidP="007126EF">
      <w:pPr>
        <w:rPr>
          <w:sz w:val="28"/>
          <w:szCs w:val="28"/>
        </w:rPr>
      </w:pPr>
      <w:r w:rsidRPr="00433C81">
        <w:rPr>
          <w:sz w:val="28"/>
          <w:szCs w:val="28"/>
        </w:rPr>
        <w:t>Для информирования граждан о работе администрации и предоставляемых услугах используется официальный сайт, районная газета «Вестник», информационные сообщества в социальных сетях</w:t>
      </w:r>
      <w:r>
        <w:rPr>
          <w:sz w:val="28"/>
          <w:szCs w:val="28"/>
        </w:rPr>
        <w:t xml:space="preserve">. </w:t>
      </w:r>
    </w:p>
    <w:p w:rsidR="007126EF" w:rsidRDefault="007126EF" w:rsidP="007126EF">
      <w:pPr>
        <w:rPr>
          <w:sz w:val="28"/>
          <w:szCs w:val="28"/>
        </w:rPr>
      </w:pPr>
      <w:r>
        <w:rPr>
          <w:sz w:val="28"/>
          <w:szCs w:val="28"/>
        </w:rPr>
        <w:t>Одна  из самых эффективных форм взаимодействия с населением – отчеты и встречи. Кроме того участие во встречах с активной молодежью в рамках проекта «Диалог на равных» (проблемы, интересы и творческие планы молодежи).</w:t>
      </w:r>
    </w:p>
    <w:p w:rsidR="007126EF" w:rsidRDefault="007126EF" w:rsidP="007126EF">
      <w:pPr>
        <w:rPr>
          <w:sz w:val="28"/>
          <w:szCs w:val="28"/>
        </w:rPr>
      </w:pPr>
      <w:r>
        <w:rPr>
          <w:sz w:val="28"/>
          <w:szCs w:val="28"/>
        </w:rPr>
        <w:t xml:space="preserve">Проводится работа с обращениями граждан. За 2022 год в администрацию округа поступило 377 обращений, из них 291 </w:t>
      </w:r>
      <w:proofErr w:type="gramStart"/>
      <w:r>
        <w:rPr>
          <w:sz w:val="28"/>
          <w:szCs w:val="28"/>
        </w:rPr>
        <w:t>письменное</w:t>
      </w:r>
      <w:proofErr w:type="gramEnd"/>
      <w:r>
        <w:rPr>
          <w:sz w:val="28"/>
          <w:szCs w:val="28"/>
        </w:rPr>
        <w:t xml:space="preserve"> и 86 устных. Количество поступивших обращений по сравнению с прошлым годом увеличилось на 33,5%. </w:t>
      </w:r>
    </w:p>
    <w:p w:rsidR="007126EF" w:rsidRDefault="007126EF" w:rsidP="007126EF">
      <w:pPr>
        <w:rPr>
          <w:sz w:val="28"/>
          <w:szCs w:val="28"/>
        </w:rPr>
      </w:pPr>
      <w:r>
        <w:rPr>
          <w:sz w:val="28"/>
          <w:szCs w:val="28"/>
        </w:rPr>
        <w:t xml:space="preserve">Внедрение системы «Инцидент-менеджмент» позволило установить прямой диалог между населением и властью, быстрее реагировать на найденные сообщения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социальных медиа и способствовать их решению. За 2022 год через социальные сети поступило 663 обращения. Жителей муниципального округа волнуют вопросы жилищно-коммунальной сферы и вопросы социального характера.</w:t>
      </w:r>
    </w:p>
    <w:p w:rsidR="007126EF" w:rsidRPr="00677A55" w:rsidRDefault="007126EF" w:rsidP="007126EF">
      <w:pPr>
        <w:rPr>
          <w:sz w:val="28"/>
          <w:szCs w:val="28"/>
        </w:rPr>
      </w:pPr>
      <w:r>
        <w:rPr>
          <w:sz w:val="28"/>
          <w:szCs w:val="28"/>
        </w:rPr>
        <w:t xml:space="preserve">В 2022 году социальная адресная материальная  помощь из </w:t>
      </w:r>
      <w:r w:rsidRPr="00677A55">
        <w:rPr>
          <w:sz w:val="28"/>
          <w:szCs w:val="28"/>
        </w:rPr>
        <w:t>бюджета округа оказана  26 гражданам в сумме 214,0 тыс. рублей.</w:t>
      </w:r>
    </w:p>
    <w:p w:rsidR="007126EF" w:rsidRPr="00433C81" w:rsidRDefault="007126EF" w:rsidP="007126EF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0F0F0"/>
        </w:rPr>
      </w:pPr>
      <w:r>
        <w:rPr>
          <w:sz w:val="28"/>
          <w:szCs w:val="28"/>
        </w:rPr>
        <w:t xml:space="preserve">В рамках предоставления бесплатных государственных и муниципальных услуг населению, информирования и консультирования заявителей значительная  роль  Многофункционального центра Первомайского </w:t>
      </w:r>
      <w:r w:rsidR="002F007D">
        <w:rPr>
          <w:sz w:val="28"/>
          <w:szCs w:val="28"/>
        </w:rPr>
        <w:t>муниципального округ</w:t>
      </w:r>
      <w:r w:rsidR="0039041C">
        <w:rPr>
          <w:sz w:val="28"/>
          <w:szCs w:val="28"/>
        </w:rPr>
        <w:t>а</w:t>
      </w:r>
      <w:r>
        <w:rPr>
          <w:sz w:val="28"/>
          <w:szCs w:val="28"/>
        </w:rPr>
        <w:t xml:space="preserve">. Всего в 2022 году оказано 33897 услуг. Получено доходов от  расщепления государственной пошлины, подлежащей зачислению в бюджет области в сумме 1,2 млн. рублей. </w:t>
      </w:r>
    </w:p>
    <w:p w:rsidR="007126EF" w:rsidRPr="00154816" w:rsidRDefault="007126EF" w:rsidP="007126EF">
      <w:pPr>
        <w:pStyle w:val="1"/>
        <w:rPr>
          <w:color w:val="auto"/>
          <w:sz w:val="28"/>
          <w:szCs w:val="28"/>
        </w:rPr>
      </w:pPr>
      <w:r w:rsidRPr="00154816">
        <w:rPr>
          <w:color w:val="auto"/>
          <w:sz w:val="28"/>
          <w:szCs w:val="28"/>
        </w:rPr>
        <w:t>2. П</w:t>
      </w:r>
      <w:r w:rsidR="00C150DC">
        <w:rPr>
          <w:color w:val="auto"/>
          <w:sz w:val="28"/>
          <w:szCs w:val="28"/>
        </w:rPr>
        <w:t xml:space="preserve">риоритеты в сфере реализации муниципальной программы, цели, </w:t>
      </w:r>
      <w:r w:rsidR="00C150DC">
        <w:rPr>
          <w:color w:val="auto"/>
          <w:sz w:val="28"/>
          <w:szCs w:val="28"/>
        </w:rPr>
        <w:lastRenderedPageBreak/>
        <w:t>задачи, сроки реализации</w:t>
      </w:r>
      <w:r w:rsidRPr="00154816">
        <w:rPr>
          <w:color w:val="auto"/>
          <w:sz w:val="28"/>
          <w:szCs w:val="28"/>
        </w:rPr>
        <w:t xml:space="preserve"> муниципальной программы</w:t>
      </w:r>
    </w:p>
    <w:p w:rsidR="007126EF" w:rsidRPr="00154816" w:rsidRDefault="007126EF" w:rsidP="007126EF">
      <w:pPr>
        <w:rPr>
          <w:sz w:val="28"/>
          <w:szCs w:val="28"/>
        </w:rPr>
      </w:pPr>
      <w:proofErr w:type="gramStart"/>
      <w:r w:rsidRPr="00154816">
        <w:rPr>
          <w:sz w:val="28"/>
          <w:szCs w:val="28"/>
        </w:rPr>
        <w:t xml:space="preserve">Цели государственной политики в сфере социально-экономического развития </w:t>
      </w:r>
      <w:r w:rsidR="00C150DC">
        <w:rPr>
          <w:sz w:val="28"/>
          <w:szCs w:val="28"/>
        </w:rPr>
        <w:t xml:space="preserve">муниципального </w:t>
      </w:r>
      <w:r w:rsidRPr="00154816">
        <w:rPr>
          <w:sz w:val="28"/>
          <w:szCs w:val="28"/>
        </w:rPr>
        <w:t xml:space="preserve">округа определены в </w:t>
      </w:r>
      <w:hyperlink r:id="rId12" w:history="1">
        <w:r w:rsidRPr="00154816">
          <w:rPr>
            <w:rStyle w:val="a7"/>
            <w:sz w:val="28"/>
            <w:szCs w:val="28"/>
          </w:rPr>
          <w:t>Указе</w:t>
        </w:r>
      </w:hyperlink>
      <w:r w:rsidRPr="00154816">
        <w:rPr>
          <w:sz w:val="28"/>
          <w:szCs w:val="28"/>
        </w:rPr>
        <w:t xml:space="preserve"> Президента Российской Федерации от 21.07.2020 N 474 "О национальных целях развития Российской Федерации на период до 2030 года" и предусматривает увеличение численности занятых у субъектов малого и среднего предпринимательства, включая индивидуальных предпринимателей и </w:t>
      </w:r>
      <w:proofErr w:type="spellStart"/>
      <w:r w:rsidRPr="00154816">
        <w:rPr>
          <w:sz w:val="28"/>
          <w:szCs w:val="28"/>
        </w:rPr>
        <w:t>самозанятых</w:t>
      </w:r>
      <w:proofErr w:type="spellEnd"/>
      <w:r w:rsidRPr="00154816">
        <w:rPr>
          <w:sz w:val="28"/>
          <w:szCs w:val="28"/>
        </w:rPr>
        <w:t>, рост индекса физического объема инвестиций в основной капитал по отношению к 2022 году.</w:t>
      </w:r>
      <w:proofErr w:type="gramEnd"/>
    </w:p>
    <w:p w:rsidR="007126EF" w:rsidRPr="00154816" w:rsidRDefault="003453A9" w:rsidP="007126EF">
      <w:pPr>
        <w:rPr>
          <w:sz w:val="28"/>
          <w:szCs w:val="28"/>
        </w:rPr>
      </w:pPr>
      <w:r>
        <w:rPr>
          <w:sz w:val="28"/>
          <w:szCs w:val="28"/>
        </w:rPr>
        <w:t>Целями настоящей</w:t>
      </w:r>
      <w:r w:rsidR="007126EF">
        <w:rPr>
          <w:sz w:val="28"/>
          <w:szCs w:val="28"/>
        </w:rPr>
        <w:t xml:space="preserve"> </w:t>
      </w:r>
      <w:r w:rsidR="007126EF" w:rsidRPr="00154816">
        <w:rPr>
          <w:sz w:val="28"/>
          <w:szCs w:val="28"/>
        </w:rPr>
        <w:t>муниципальной программы являются:</w:t>
      </w:r>
    </w:p>
    <w:p w:rsidR="007126EF" w:rsidRPr="0015481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154816">
        <w:rPr>
          <w:rFonts w:ascii="Times New Roman" w:hAnsi="Times New Roman" w:cs="Times New Roman"/>
          <w:sz w:val="28"/>
          <w:szCs w:val="28"/>
        </w:rPr>
        <w:t>цель 1:создание благоприятного инв</w:t>
      </w:r>
      <w:r w:rsidR="00ED24A7">
        <w:rPr>
          <w:rFonts w:ascii="Times New Roman" w:hAnsi="Times New Roman" w:cs="Times New Roman"/>
          <w:sz w:val="28"/>
          <w:szCs w:val="28"/>
        </w:rPr>
        <w:t>естиционного и делового климата;</w:t>
      </w:r>
    </w:p>
    <w:p w:rsidR="007126EF" w:rsidRPr="0083191B" w:rsidRDefault="007126EF" w:rsidP="007126EF">
      <w:r w:rsidRPr="0083191B">
        <w:rPr>
          <w:rFonts w:ascii="Times New Roman" w:hAnsi="Times New Roman" w:cs="Times New Roman"/>
          <w:sz w:val="28"/>
          <w:szCs w:val="28"/>
        </w:rPr>
        <w:t>цель 2:повышение и</w:t>
      </w:r>
      <w:r w:rsidR="00ED24A7">
        <w:rPr>
          <w:rFonts w:ascii="Times New Roman" w:hAnsi="Times New Roman" w:cs="Times New Roman"/>
          <w:sz w:val="28"/>
          <w:szCs w:val="28"/>
        </w:rPr>
        <w:t>нновационной активности бизнеса;</w:t>
      </w:r>
      <w:r w:rsidRPr="0083191B">
        <w:t xml:space="preserve"> </w:t>
      </w:r>
    </w:p>
    <w:p w:rsidR="007126EF" w:rsidRPr="00A70EC4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A70EC4">
        <w:rPr>
          <w:rFonts w:ascii="Times New Roman" w:hAnsi="Times New Roman" w:cs="Times New Roman"/>
          <w:sz w:val="28"/>
          <w:szCs w:val="28"/>
        </w:rPr>
        <w:t>цель 3:увеличение численности занятых в сфере малого и среднего предпринимательства, включая индивидуальных</w:t>
      </w:r>
      <w:r w:rsidR="00ED24A7">
        <w:rPr>
          <w:rFonts w:ascii="Times New Roman" w:hAnsi="Times New Roman" w:cs="Times New Roman"/>
          <w:sz w:val="28"/>
          <w:szCs w:val="28"/>
        </w:rPr>
        <w:t xml:space="preserve"> предпринимателей и </w:t>
      </w:r>
      <w:proofErr w:type="spellStart"/>
      <w:r w:rsidR="00ED24A7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ED24A7">
        <w:rPr>
          <w:rFonts w:ascii="Times New Roman" w:hAnsi="Times New Roman" w:cs="Times New Roman"/>
          <w:sz w:val="28"/>
          <w:szCs w:val="28"/>
        </w:rPr>
        <w:t>;</w:t>
      </w:r>
    </w:p>
    <w:p w:rsidR="007126EF" w:rsidRPr="0083191B" w:rsidRDefault="007126EF" w:rsidP="007126EF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83191B">
        <w:rPr>
          <w:rFonts w:ascii="Times New Roman" w:hAnsi="Times New Roman" w:cs="Times New Roman"/>
          <w:sz w:val="28"/>
          <w:szCs w:val="28"/>
        </w:rPr>
        <w:t>цель 4: повышение эффектив</w:t>
      </w:r>
      <w:r w:rsidR="00ED24A7">
        <w:rPr>
          <w:rFonts w:ascii="Times New Roman" w:hAnsi="Times New Roman" w:cs="Times New Roman"/>
          <w:sz w:val="28"/>
          <w:szCs w:val="28"/>
        </w:rPr>
        <w:t>ности муниципального управления.</w:t>
      </w:r>
    </w:p>
    <w:p w:rsidR="00A07BAB" w:rsidRPr="008D65D2" w:rsidRDefault="00ED24A7" w:rsidP="00C0563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5D2">
        <w:rPr>
          <w:sz w:val="28"/>
          <w:szCs w:val="28"/>
        </w:rPr>
        <w:t>Достижение заявленных целей потребует решение следующих задач:</w:t>
      </w:r>
      <w:r w:rsidR="00A07BAB" w:rsidRPr="008D6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BAB" w:rsidRPr="00591795" w:rsidRDefault="00A07BAB" w:rsidP="00A07B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591795">
        <w:rPr>
          <w:rFonts w:ascii="Times New Roman" w:hAnsi="Times New Roman" w:cs="Times New Roman"/>
          <w:sz w:val="28"/>
          <w:szCs w:val="28"/>
        </w:rPr>
        <w:t>овышение инвестиционной привлекательности Первомайского муниципального округа и создание благоприятных условий для привлечения инвестиций в экономику  округа.</w:t>
      </w:r>
    </w:p>
    <w:p w:rsidR="00A07BAB" w:rsidRPr="0009029A" w:rsidRDefault="00A07BAB" w:rsidP="00A07B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09029A">
        <w:rPr>
          <w:rFonts w:ascii="Times New Roman" w:hAnsi="Times New Roman" w:cs="Times New Roman"/>
          <w:sz w:val="28"/>
          <w:szCs w:val="28"/>
        </w:rPr>
        <w:t xml:space="preserve">беспечение сбалансированного экономического развития и </w:t>
      </w:r>
      <w:r>
        <w:rPr>
          <w:rFonts w:ascii="Times New Roman" w:hAnsi="Times New Roman" w:cs="Times New Roman"/>
          <w:sz w:val="28"/>
          <w:szCs w:val="28"/>
        </w:rPr>
        <w:t>конкурентоспособности экономики</w:t>
      </w:r>
      <w:r w:rsidRPr="0009029A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07BAB" w:rsidRPr="0009029A" w:rsidRDefault="00A07BAB" w:rsidP="00A07B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-совершенствование системы программно-целевого управления.</w:t>
      </w:r>
      <w:r w:rsidRPr="000902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7BAB" w:rsidRDefault="00A07BAB" w:rsidP="00A07B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-увеличение доли субъектов малого и среднего предпринимательства в экономике округа, развитие института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07BAB" w:rsidRDefault="00A07BAB" w:rsidP="00A07BA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доступности и качества муниципальных услуг.</w:t>
      </w:r>
    </w:p>
    <w:p w:rsidR="00ED24A7" w:rsidRDefault="00A07BAB" w:rsidP="00A07BAB">
      <w:pPr>
        <w:ind w:firstLine="709"/>
        <w:rPr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</w:t>
      </w:r>
      <w:r w:rsidRPr="004C2086">
        <w:rPr>
          <w:rFonts w:ascii="Times New Roman" w:hAnsi="Times New Roman" w:cs="Times New Roman"/>
          <w:sz w:val="28"/>
          <w:szCs w:val="28"/>
        </w:rPr>
        <w:t xml:space="preserve"> высококвалифицированного кадрового состава муниципальной службы округа, обеспечивающего эффективность 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0E78" w:rsidRDefault="00460E78" w:rsidP="007126EF">
      <w:pPr>
        <w:rPr>
          <w:sz w:val="28"/>
          <w:szCs w:val="28"/>
        </w:rPr>
      </w:pPr>
      <w:r>
        <w:rPr>
          <w:sz w:val="28"/>
          <w:szCs w:val="28"/>
        </w:rPr>
        <w:t>Срок реализации муниципальной программы 2024-2030 годы.</w:t>
      </w:r>
    </w:p>
    <w:p w:rsidR="008D65D2" w:rsidRPr="0083191B" w:rsidRDefault="008D65D2" w:rsidP="007126EF">
      <w:pPr>
        <w:rPr>
          <w:sz w:val="28"/>
          <w:szCs w:val="28"/>
        </w:rPr>
      </w:pPr>
    </w:p>
    <w:p w:rsidR="008D65D2" w:rsidRDefault="007126EF" w:rsidP="000D1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5D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D65D2" w:rsidRPr="008D65D2">
        <w:rPr>
          <w:rFonts w:ascii="Times New Roman" w:hAnsi="Times New Roman" w:cs="Times New Roman"/>
          <w:b/>
          <w:sz w:val="28"/>
          <w:szCs w:val="28"/>
        </w:rPr>
        <w:t>Показатели (индикаторы) достижения целей и решения задач, основные ожидаемые результаты муниципальной программы</w:t>
      </w:r>
    </w:p>
    <w:p w:rsidR="008D65D2" w:rsidRPr="008D65D2" w:rsidRDefault="008D65D2" w:rsidP="00EC25A8">
      <w:pPr>
        <w:rPr>
          <w:rFonts w:ascii="Times New Roman" w:hAnsi="Times New Roman" w:cs="Times New Roman"/>
          <w:b/>
          <w:sz w:val="28"/>
          <w:szCs w:val="28"/>
        </w:rPr>
      </w:pPr>
    </w:p>
    <w:p w:rsidR="000D16BE" w:rsidRDefault="000D16BE" w:rsidP="00345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достижений целей и решения задач муниципальной программы являются:</w:t>
      </w:r>
    </w:p>
    <w:p w:rsidR="00823A27" w:rsidRDefault="00823A27" w:rsidP="003453A9">
      <w:pPr>
        <w:rPr>
          <w:rFonts w:ascii="Times New Roman" w:hAnsi="Times New Roman" w:cs="Times New Roman"/>
          <w:sz w:val="28"/>
          <w:szCs w:val="28"/>
        </w:rPr>
      </w:pPr>
      <w:r w:rsidRPr="00154816">
        <w:rPr>
          <w:rFonts w:ascii="Times New Roman" w:hAnsi="Times New Roman" w:cs="Times New Roman"/>
          <w:sz w:val="28"/>
          <w:szCs w:val="28"/>
        </w:rPr>
        <w:t>цель 1:создание благоприятного инв</w:t>
      </w:r>
      <w:r>
        <w:rPr>
          <w:rFonts w:ascii="Times New Roman" w:hAnsi="Times New Roman" w:cs="Times New Roman"/>
          <w:sz w:val="28"/>
          <w:szCs w:val="28"/>
        </w:rPr>
        <w:t>естиционного и делового климата;</w:t>
      </w:r>
    </w:p>
    <w:p w:rsidR="003453A9" w:rsidRPr="00154816" w:rsidRDefault="003453A9" w:rsidP="003453A9">
      <w:pPr>
        <w:rPr>
          <w:sz w:val="28"/>
          <w:szCs w:val="28"/>
        </w:rPr>
      </w:pPr>
      <w:r w:rsidRPr="00FA2795">
        <w:rPr>
          <w:sz w:val="28"/>
          <w:szCs w:val="28"/>
        </w:rPr>
        <w:t xml:space="preserve">-доля инвестиций в основной капитал в валовом </w:t>
      </w:r>
      <w:r w:rsidRPr="00154816">
        <w:rPr>
          <w:sz w:val="28"/>
          <w:szCs w:val="28"/>
        </w:rPr>
        <w:t>продукте</w:t>
      </w:r>
      <w:r>
        <w:rPr>
          <w:sz w:val="28"/>
          <w:szCs w:val="28"/>
        </w:rPr>
        <w:t xml:space="preserve"> округа</w:t>
      </w:r>
      <w:r w:rsidR="0044162A">
        <w:rPr>
          <w:sz w:val="28"/>
          <w:szCs w:val="28"/>
        </w:rPr>
        <w:t xml:space="preserve"> - 110</w:t>
      </w:r>
      <w:r w:rsidRPr="00154816">
        <w:rPr>
          <w:sz w:val="28"/>
          <w:szCs w:val="28"/>
        </w:rPr>
        <w:t>%. Показатель характеризует долю затрат на строительство и технологическое обновление в реальном секторе экономики;</w:t>
      </w:r>
    </w:p>
    <w:p w:rsidR="003453A9" w:rsidRDefault="003453A9" w:rsidP="003453A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54816">
        <w:rPr>
          <w:sz w:val="28"/>
          <w:szCs w:val="28"/>
        </w:rPr>
        <w:t>индекс физического объема инвестиций в основной капитал по отношению к 2022 году - 140% рассчитывается в процентах путем отношения объема инвестиций в основной капитал (в сопоставимых ценах) к валовому  продукту</w:t>
      </w:r>
      <w:r>
        <w:rPr>
          <w:sz w:val="28"/>
          <w:szCs w:val="28"/>
        </w:rPr>
        <w:t xml:space="preserve"> округа</w:t>
      </w:r>
      <w:r w:rsidRPr="00154816">
        <w:rPr>
          <w:sz w:val="28"/>
          <w:szCs w:val="28"/>
        </w:rPr>
        <w:t xml:space="preserve"> и характеризует темп роста (индекс роста) </w:t>
      </w:r>
      <w:r w:rsidRPr="00154816">
        <w:rPr>
          <w:sz w:val="28"/>
          <w:szCs w:val="28"/>
        </w:rPr>
        <w:lastRenderedPageBreak/>
        <w:t>физического объем</w:t>
      </w:r>
      <w:r>
        <w:rPr>
          <w:sz w:val="28"/>
          <w:szCs w:val="28"/>
        </w:rPr>
        <w:t>а инвестиций в основной капитал;</w:t>
      </w:r>
    </w:p>
    <w:p w:rsidR="003453A9" w:rsidRPr="0083191B" w:rsidRDefault="003453A9" w:rsidP="003453A9">
      <w:r w:rsidRPr="0083191B">
        <w:rPr>
          <w:rFonts w:ascii="Times New Roman" w:hAnsi="Times New Roman" w:cs="Times New Roman"/>
          <w:sz w:val="28"/>
          <w:szCs w:val="28"/>
        </w:rPr>
        <w:t>цель 2:повышение инновационной активности бизнеса:</w:t>
      </w:r>
      <w:r w:rsidRPr="0083191B">
        <w:t xml:space="preserve"> </w:t>
      </w:r>
    </w:p>
    <w:p w:rsidR="003453A9" w:rsidRPr="0083191B" w:rsidRDefault="003453A9" w:rsidP="003453A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83191B">
        <w:rPr>
          <w:sz w:val="28"/>
          <w:szCs w:val="28"/>
        </w:rPr>
        <w:t xml:space="preserve">удельный вес организаций, </w:t>
      </w:r>
      <w:r>
        <w:rPr>
          <w:sz w:val="28"/>
          <w:szCs w:val="28"/>
        </w:rPr>
        <w:t>применя</w:t>
      </w:r>
      <w:r w:rsidRPr="0083191B">
        <w:rPr>
          <w:sz w:val="28"/>
          <w:szCs w:val="28"/>
        </w:rPr>
        <w:t xml:space="preserve">ющих </w:t>
      </w:r>
      <w:r>
        <w:rPr>
          <w:sz w:val="28"/>
          <w:szCs w:val="28"/>
        </w:rPr>
        <w:t xml:space="preserve">технологические </w:t>
      </w:r>
      <w:r w:rsidRPr="0083191B">
        <w:rPr>
          <w:sz w:val="28"/>
          <w:szCs w:val="28"/>
        </w:rPr>
        <w:t>инноваци</w:t>
      </w:r>
      <w:r>
        <w:rPr>
          <w:sz w:val="28"/>
          <w:szCs w:val="28"/>
        </w:rPr>
        <w:t>и</w:t>
      </w:r>
      <w:r w:rsidRPr="0083191B">
        <w:rPr>
          <w:sz w:val="28"/>
          <w:szCs w:val="28"/>
        </w:rPr>
        <w:t xml:space="preserve">, в общем числе </w:t>
      </w:r>
      <w:r>
        <w:rPr>
          <w:sz w:val="28"/>
          <w:szCs w:val="28"/>
        </w:rPr>
        <w:t>действующих</w:t>
      </w:r>
      <w:r w:rsidRPr="0083191B">
        <w:rPr>
          <w:sz w:val="28"/>
          <w:szCs w:val="28"/>
        </w:rPr>
        <w:t xml:space="preserve"> организаций - </w:t>
      </w:r>
      <w:r w:rsidR="0044162A">
        <w:rPr>
          <w:sz w:val="28"/>
          <w:szCs w:val="28"/>
        </w:rPr>
        <w:t>15</w:t>
      </w:r>
      <w:r>
        <w:rPr>
          <w:sz w:val="28"/>
          <w:szCs w:val="28"/>
        </w:rPr>
        <w:t>%;</w:t>
      </w:r>
    </w:p>
    <w:p w:rsidR="003453A9" w:rsidRPr="00A70EC4" w:rsidRDefault="003453A9" w:rsidP="003453A9">
      <w:pPr>
        <w:rPr>
          <w:rFonts w:ascii="Times New Roman" w:hAnsi="Times New Roman" w:cs="Times New Roman"/>
          <w:sz w:val="28"/>
          <w:szCs w:val="28"/>
        </w:rPr>
      </w:pPr>
      <w:r w:rsidRPr="00A70EC4">
        <w:rPr>
          <w:rFonts w:ascii="Times New Roman" w:hAnsi="Times New Roman" w:cs="Times New Roman"/>
          <w:sz w:val="28"/>
          <w:szCs w:val="28"/>
        </w:rPr>
        <w:t xml:space="preserve">цель 3:увеличение численности занятых в сфере малого и среднего предпринимательства, включая индивидуальных предпринимателей и </w:t>
      </w:r>
      <w:proofErr w:type="spellStart"/>
      <w:r w:rsidRPr="00A70EC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A70EC4">
        <w:rPr>
          <w:rFonts w:ascii="Times New Roman" w:hAnsi="Times New Roman" w:cs="Times New Roman"/>
          <w:sz w:val="28"/>
          <w:szCs w:val="28"/>
        </w:rPr>
        <w:t>:</w:t>
      </w:r>
    </w:p>
    <w:p w:rsidR="003453A9" w:rsidRPr="00A70EC4" w:rsidRDefault="00FD4225" w:rsidP="003453A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3453A9" w:rsidRPr="00A70EC4">
        <w:rPr>
          <w:sz w:val="28"/>
          <w:szCs w:val="28"/>
        </w:rPr>
        <w:t xml:space="preserve">численность занятых в сфере малого и среднего предпринимательства, включая индивидуальных предпринимателей и </w:t>
      </w:r>
      <w:proofErr w:type="spellStart"/>
      <w:r w:rsidR="003453A9" w:rsidRPr="00A70EC4">
        <w:rPr>
          <w:sz w:val="28"/>
          <w:szCs w:val="28"/>
        </w:rPr>
        <w:t>самозанятых</w:t>
      </w:r>
      <w:proofErr w:type="spellEnd"/>
      <w:r w:rsidR="003453A9" w:rsidRPr="00A70EC4">
        <w:rPr>
          <w:sz w:val="28"/>
          <w:szCs w:val="28"/>
        </w:rPr>
        <w:t xml:space="preserve"> (1,7 тыс. человек) характеризует степень вовлеченности населения в предпринимательскую деятельность.</w:t>
      </w:r>
    </w:p>
    <w:p w:rsidR="003453A9" w:rsidRPr="0083191B" w:rsidRDefault="003453A9" w:rsidP="003453A9">
      <w:pPr>
        <w:rPr>
          <w:sz w:val="28"/>
          <w:szCs w:val="28"/>
        </w:rPr>
      </w:pPr>
      <w:r w:rsidRPr="0083191B">
        <w:rPr>
          <w:sz w:val="28"/>
          <w:szCs w:val="28"/>
        </w:rPr>
        <w:t>Показатель рассчитывается на основании информации представленной в едином реестре субъектов малого и среднего предпринимательства;</w:t>
      </w:r>
    </w:p>
    <w:p w:rsidR="005644A3" w:rsidRPr="00154816" w:rsidRDefault="005644A3" w:rsidP="005644A3">
      <w:pPr>
        <w:rPr>
          <w:sz w:val="28"/>
          <w:szCs w:val="28"/>
        </w:rPr>
      </w:pPr>
      <w:r>
        <w:rPr>
          <w:sz w:val="28"/>
          <w:szCs w:val="28"/>
        </w:rPr>
        <w:t>-доля поступления налогов от субъектов малого и среднего предпринимательства в налоговых доходах местного бюджета (10</w:t>
      </w:r>
      <w:r w:rsidRPr="00925AE3">
        <w:rPr>
          <w:sz w:val="28"/>
          <w:szCs w:val="28"/>
        </w:rPr>
        <w:t>%);</w:t>
      </w:r>
    </w:p>
    <w:p w:rsidR="003453A9" w:rsidRPr="0083191B" w:rsidRDefault="003453A9" w:rsidP="003453A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83191B">
        <w:rPr>
          <w:rFonts w:ascii="Times New Roman" w:hAnsi="Times New Roman" w:cs="Times New Roman"/>
          <w:sz w:val="28"/>
          <w:szCs w:val="28"/>
        </w:rPr>
        <w:t>цель 4: повышение эффективности муниципального управления:</w:t>
      </w:r>
    </w:p>
    <w:p w:rsidR="003453A9" w:rsidRPr="0083191B" w:rsidRDefault="00156EDB" w:rsidP="003453A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3453A9" w:rsidRPr="0083191B">
        <w:rPr>
          <w:sz w:val="28"/>
          <w:szCs w:val="28"/>
        </w:rPr>
        <w:t xml:space="preserve">уровень удовлетворенности населения Первомайского муниципального округа  качеством предоставления государственных и муниципальных услуг - </w:t>
      </w:r>
      <w:r w:rsidR="0044162A">
        <w:rPr>
          <w:sz w:val="28"/>
          <w:szCs w:val="28"/>
        </w:rPr>
        <w:t>100</w:t>
      </w:r>
      <w:r w:rsidR="003453A9" w:rsidRPr="0083191B">
        <w:rPr>
          <w:sz w:val="28"/>
          <w:szCs w:val="28"/>
        </w:rPr>
        <w:t>%, характеризует достижение уровня качества и доступности организации предоставления государственных и муниципальных услуг в округе.</w:t>
      </w:r>
    </w:p>
    <w:p w:rsidR="003453A9" w:rsidRPr="0083191B" w:rsidRDefault="003453A9" w:rsidP="003453A9">
      <w:pPr>
        <w:rPr>
          <w:sz w:val="28"/>
          <w:szCs w:val="28"/>
        </w:rPr>
      </w:pPr>
      <w:proofErr w:type="gramStart"/>
      <w:r w:rsidRPr="0083191B">
        <w:rPr>
          <w:sz w:val="28"/>
          <w:szCs w:val="28"/>
        </w:rPr>
        <w:t>Показатель рассчитывается по утвержденной методике проведения социологического исследования и оценки удовлетворенности населения Тамбовской области качеством предоставления государственных и муниципальных услуг, среднего числа обращений представителей бизнес-сообщества в орган местного самоуправления для получения одной государственной и (или) муниципальной услуги, связанной со сферой предпринимательской деятельности, времени ожидания в очереди при обращении заявителя в орган местного самоуправления для получения государственных и (или) муниципальных услуг;</w:t>
      </w:r>
      <w:proofErr w:type="gramEnd"/>
    </w:p>
    <w:p w:rsidR="003453A9" w:rsidRDefault="003453A9" w:rsidP="003453A9">
      <w:pPr>
        <w:rPr>
          <w:sz w:val="28"/>
          <w:szCs w:val="28"/>
        </w:rPr>
      </w:pPr>
      <w:r w:rsidRPr="0083191B">
        <w:rPr>
          <w:sz w:val="28"/>
          <w:szCs w:val="28"/>
        </w:rPr>
        <w:t xml:space="preserve">Перечень и сведения о плановых значениях показателей муниципальной программы (с расшифровкой плановых значений по годам реализации), представлены в </w:t>
      </w:r>
      <w:hyperlink w:anchor="sub_11000" w:history="1">
        <w:r w:rsidRPr="0083191B">
          <w:rPr>
            <w:rStyle w:val="a7"/>
            <w:sz w:val="28"/>
            <w:szCs w:val="28"/>
          </w:rPr>
          <w:t>прило</w:t>
        </w:r>
        <w:r w:rsidR="000D16BE">
          <w:rPr>
            <w:rStyle w:val="a7"/>
            <w:sz w:val="28"/>
            <w:szCs w:val="28"/>
          </w:rPr>
          <w:t>жении №</w:t>
        </w:r>
        <w:r w:rsidRPr="0083191B">
          <w:rPr>
            <w:rStyle w:val="a7"/>
            <w:sz w:val="28"/>
            <w:szCs w:val="28"/>
          </w:rPr>
          <w:t> 1</w:t>
        </w:r>
      </w:hyperlink>
      <w:r w:rsidRPr="0083191B">
        <w:rPr>
          <w:sz w:val="28"/>
          <w:szCs w:val="28"/>
        </w:rPr>
        <w:t xml:space="preserve"> к муниципальной программе.</w:t>
      </w:r>
    </w:p>
    <w:p w:rsidR="003453A9" w:rsidRDefault="003453A9" w:rsidP="003453A9">
      <w:pPr>
        <w:rPr>
          <w:sz w:val="28"/>
          <w:szCs w:val="28"/>
        </w:rPr>
      </w:pPr>
      <w:r>
        <w:rPr>
          <w:sz w:val="28"/>
          <w:szCs w:val="28"/>
        </w:rPr>
        <w:t>Основными проблемами и сущес</w:t>
      </w:r>
      <w:r w:rsidR="00156EDB">
        <w:rPr>
          <w:sz w:val="28"/>
          <w:szCs w:val="28"/>
        </w:rPr>
        <w:t>твенными ограничениями развития:</w:t>
      </w:r>
    </w:p>
    <w:p w:rsidR="003453A9" w:rsidRDefault="003453A9" w:rsidP="003453A9">
      <w:pPr>
        <w:rPr>
          <w:sz w:val="28"/>
          <w:szCs w:val="28"/>
        </w:rPr>
      </w:pPr>
      <w:r>
        <w:rPr>
          <w:sz w:val="28"/>
          <w:szCs w:val="28"/>
        </w:rPr>
        <w:t>-инвестиционной деятельности являются нестабильность рынков, нарушение логистики, разрыв производственных цепочек, нарушение работы с контрагентами как в плане закупок сырья, так и  в плане сбыта готовой продукции, кроме того, существенным ограничением является недостаточное количество обеспеченных инфраструктурой инвестиционных площадок для реализации новых инвестиционных проектов;</w:t>
      </w:r>
    </w:p>
    <w:p w:rsidR="003453A9" w:rsidRDefault="00156EDB" w:rsidP="003453A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3453A9">
        <w:rPr>
          <w:sz w:val="28"/>
          <w:szCs w:val="28"/>
        </w:rPr>
        <w:t>внешнеэкономической деятельности и международного сотрудничества является общая геополитическая обстановка;</w:t>
      </w:r>
    </w:p>
    <w:p w:rsidR="003453A9" w:rsidRDefault="00156EDB" w:rsidP="003453A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3453A9">
        <w:rPr>
          <w:sz w:val="28"/>
          <w:szCs w:val="28"/>
        </w:rPr>
        <w:t xml:space="preserve">малого и среднего предпринимательства округа являются существующие административные барьеры, негативно влияющие на </w:t>
      </w:r>
      <w:r w:rsidR="003453A9">
        <w:rPr>
          <w:sz w:val="28"/>
          <w:szCs w:val="28"/>
        </w:rPr>
        <w:lastRenderedPageBreak/>
        <w:t>предпринимательский климат, рост налоговой нагрузки, в первую очередь для начинающих предпринимателей, а также постоянные изменения в законодательстве и применение ограничительных мер. Все эти процессы отнимают много времени и средств на перестройку малого бизнеса под новые стандарты государства.</w:t>
      </w:r>
    </w:p>
    <w:p w:rsidR="00377D58" w:rsidRDefault="00377D58" w:rsidP="000D16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6BE" w:rsidRPr="000D16BE" w:rsidRDefault="000D16BE" w:rsidP="000D1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6BE">
        <w:rPr>
          <w:rFonts w:ascii="Times New Roman" w:hAnsi="Times New Roman" w:cs="Times New Roman"/>
          <w:b/>
          <w:sz w:val="28"/>
          <w:szCs w:val="28"/>
        </w:rPr>
        <w:t>4.Обобщенная характеристика подпрограммы, мероприятий муниципальной программы</w:t>
      </w:r>
    </w:p>
    <w:p w:rsidR="00A45E71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A45E71">
        <w:rPr>
          <w:rFonts w:ascii="Times New Roman" w:hAnsi="Times New Roman" w:cs="Times New Roman"/>
          <w:sz w:val="28"/>
          <w:szCs w:val="28"/>
        </w:rPr>
        <w:t xml:space="preserve">по достижению целей и решению задач </w:t>
      </w:r>
      <w:r w:rsidRPr="00F06CC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A45E71">
        <w:rPr>
          <w:rFonts w:ascii="Times New Roman" w:hAnsi="Times New Roman" w:cs="Times New Roman"/>
          <w:sz w:val="28"/>
          <w:szCs w:val="28"/>
        </w:rPr>
        <w:t>реализуются в рамках системы 3-х подпрограмм.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>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мероприятий.</w:t>
      </w:r>
    </w:p>
    <w:p w:rsidR="00377D58" w:rsidRDefault="00377D58" w:rsidP="007126EF">
      <w:pPr>
        <w:rPr>
          <w:rStyle w:val="a6"/>
          <w:rFonts w:ascii="Times New Roman" w:hAnsi="Times New Roman" w:cs="Times New Roman"/>
          <w:bCs/>
          <w:sz w:val="28"/>
          <w:szCs w:val="28"/>
        </w:rPr>
      </w:pPr>
    </w:p>
    <w:p w:rsidR="007126EF" w:rsidRPr="00F06CC6" w:rsidRDefault="007126EF" w:rsidP="007126EF">
      <w:pPr>
        <w:rPr>
          <w:rStyle w:val="a6"/>
          <w:rFonts w:ascii="Times New Roman" w:hAnsi="Times New Roman" w:cs="Times New Roman"/>
          <w:bCs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Cs/>
          <w:sz w:val="28"/>
          <w:szCs w:val="28"/>
        </w:rPr>
        <w:t>Подпрограмма 1</w:t>
      </w:r>
      <w:r w:rsidRPr="00F06CC6">
        <w:rPr>
          <w:rFonts w:ascii="Times New Roman" w:hAnsi="Times New Roman" w:cs="Times New Roman"/>
          <w:b/>
          <w:sz w:val="28"/>
          <w:szCs w:val="28"/>
        </w:rPr>
        <w:t>"Улучшение инвестиционного климата"</w:t>
      </w:r>
    </w:p>
    <w:p w:rsidR="00377D58" w:rsidRDefault="00377D58" w:rsidP="007126EF">
      <w:pPr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7126EF" w:rsidRPr="00F06CC6" w:rsidRDefault="007126EF" w:rsidP="007126EF">
      <w:pPr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Достижение заявленных целей и решение поставленных задач подпрограммы будет осуществляться в рамках реализации следующих направлений:</w:t>
      </w:r>
    </w:p>
    <w:p w:rsidR="007126EF" w:rsidRPr="00F06CC6" w:rsidRDefault="007126EF" w:rsidP="007126EF">
      <w:pPr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-развитие государственно-частного партнерства;</w:t>
      </w:r>
    </w:p>
    <w:p w:rsidR="007126EF" w:rsidRPr="00F06CC6" w:rsidRDefault="007126EF" w:rsidP="007126EF">
      <w:pPr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-разработка системных мер, направленных на улучшение условий ведения инвестиционной деятельности (административных, организационных, правовых, финансовых и др.);</w:t>
      </w:r>
    </w:p>
    <w:p w:rsidR="007126EF" w:rsidRPr="00F06CC6" w:rsidRDefault="007126EF" w:rsidP="007126EF">
      <w:pPr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-совершенствование системы подготовки и повышения квалификации кадров для обеспечения инвестиционного процесса;</w:t>
      </w:r>
    </w:p>
    <w:p w:rsidR="007126EF" w:rsidRPr="00F06CC6" w:rsidRDefault="007126EF" w:rsidP="007126EF">
      <w:pPr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-совершенствование инструментов информационной поддержки проведения инвестиционной политики.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Cs/>
          <w:sz w:val="28"/>
          <w:szCs w:val="28"/>
        </w:rPr>
        <w:t>Подпрограмма 2 "Развитие малого и среднего предпринимательства".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>Достижение заявленной цели и решение поставленных задач подпрограммы будет осуществляться в рамках реализации основных мероприятий: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>-организация финансовой поддержки субъектов малого и среднего предпринимательства;</w:t>
      </w:r>
    </w:p>
    <w:p w:rsidR="007126EF" w:rsidRPr="00AD265F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AD265F">
        <w:rPr>
          <w:rFonts w:ascii="Times New Roman" w:hAnsi="Times New Roman" w:cs="Times New Roman"/>
          <w:sz w:val="28"/>
          <w:szCs w:val="28"/>
        </w:rPr>
        <w:t>-пропаганда и популяризация предпринимательской деятельности, развитие системы консультационной и информационной поддержки субъектов малого и среднего предпринимательства;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AD265F">
        <w:rPr>
          <w:rFonts w:ascii="Times New Roman" w:hAnsi="Times New Roman" w:cs="Times New Roman"/>
          <w:sz w:val="28"/>
          <w:szCs w:val="28"/>
        </w:rPr>
        <w:t>-совершенствование механизмов использования муниципального имущества для развития малого и среднего предпринимательства</w:t>
      </w:r>
      <w:r w:rsidRPr="00F06CC6">
        <w:rPr>
          <w:rFonts w:ascii="Times New Roman" w:hAnsi="Times New Roman" w:cs="Times New Roman"/>
          <w:sz w:val="28"/>
          <w:szCs w:val="28"/>
        </w:rPr>
        <w:t>.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Style w:val="a6"/>
          <w:rFonts w:ascii="Times New Roman" w:hAnsi="Times New Roman" w:cs="Times New Roman"/>
          <w:bCs/>
          <w:sz w:val="28"/>
          <w:szCs w:val="28"/>
        </w:rPr>
        <w:t>Подпрограмма 3 "Совершенствование муниципального управления".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>Достижение заявленных целей и решение поставленных задач подпрограммы будет осуществляться в рамках реализации основных мероприятий предполагающих:</w:t>
      </w:r>
    </w:p>
    <w:p w:rsidR="007126EF" w:rsidRPr="00F06CC6" w:rsidRDefault="00E2063C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</w:t>
      </w:r>
      <w:r w:rsidR="007126EF" w:rsidRPr="00F06CC6">
        <w:rPr>
          <w:rFonts w:ascii="Times New Roman" w:hAnsi="Times New Roman" w:cs="Times New Roman"/>
          <w:sz w:val="28"/>
          <w:szCs w:val="28"/>
        </w:rPr>
        <w:t>истемных мер по снижению административных барьеров и повышению доступности и качества муниципальных услуг;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>-развитие системы кадровых резервов округа, подготовки управленческих кадров;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>-совершенствование наградной работы.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>Муниципальная программа также содержит не вошедшие в подпрограммы основные мероприятия: обеспечение деятельности администрации Первомайского муниципального округа, муниципального казённого учреждения «</w:t>
      </w:r>
      <w:r w:rsidRPr="00F06CC6">
        <w:rPr>
          <w:sz w:val="28"/>
          <w:szCs w:val="28"/>
        </w:rPr>
        <w:t xml:space="preserve">Служба организационно-технического обеспечения деятельности администрации Первомайского </w:t>
      </w:r>
      <w:r w:rsidR="00473AE6">
        <w:rPr>
          <w:sz w:val="28"/>
          <w:szCs w:val="28"/>
        </w:rPr>
        <w:t xml:space="preserve">муниципального </w:t>
      </w:r>
      <w:r w:rsidRPr="00F06CC6">
        <w:rPr>
          <w:sz w:val="28"/>
          <w:szCs w:val="28"/>
        </w:rPr>
        <w:t xml:space="preserve">округа Тамбовской области», </w:t>
      </w:r>
      <w:r w:rsidRPr="00F06CC6">
        <w:rPr>
          <w:rFonts w:ascii="Times New Roman" w:hAnsi="Times New Roman" w:cs="Times New Roman"/>
          <w:sz w:val="28"/>
          <w:szCs w:val="28"/>
        </w:rPr>
        <w:t>муниципального казённого учреждения «</w:t>
      </w:r>
      <w:r w:rsidRPr="00F06CC6">
        <w:rPr>
          <w:sz w:val="28"/>
          <w:szCs w:val="28"/>
        </w:rPr>
        <w:t xml:space="preserve">Многофункциональный центр предоставления государственных и муниципальных услуг населению Первомайского </w:t>
      </w:r>
      <w:r w:rsidR="00473AE6">
        <w:rPr>
          <w:sz w:val="28"/>
          <w:szCs w:val="28"/>
        </w:rPr>
        <w:t xml:space="preserve">муниципального </w:t>
      </w:r>
      <w:r w:rsidRPr="00F06CC6">
        <w:rPr>
          <w:sz w:val="28"/>
          <w:szCs w:val="28"/>
        </w:rPr>
        <w:t xml:space="preserve">округа» </w:t>
      </w:r>
    </w:p>
    <w:p w:rsidR="007126EF" w:rsidRPr="00F06CC6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F06CC6">
        <w:rPr>
          <w:rFonts w:ascii="Times New Roman" w:hAnsi="Times New Roman" w:cs="Times New Roman"/>
          <w:sz w:val="28"/>
          <w:szCs w:val="28"/>
        </w:rPr>
        <w:t xml:space="preserve">Перечень мероприятий с непосредственными результатами их реализации приведен в </w:t>
      </w:r>
      <w:hyperlink w:anchor="sub_12000" w:history="1">
        <w:r w:rsidRPr="00F06CC6">
          <w:rPr>
            <w:rStyle w:val="a7"/>
            <w:sz w:val="28"/>
            <w:szCs w:val="28"/>
          </w:rPr>
          <w:t xml:space="preserve">приложении </w:t>
        </w:r>
        <w:r>
          <w:rPr>
            <w:rStyle w:val="a7"/>
            <w:sz w:val="28"/>
            <w:szCs w:val="28"/>
          </w:rPr>
          <w:t>№</w:t>
        </w:r>
        <w:r w:rsidRPr="00F06CC6">
          <w:rPr>
            <w:rStyle w:val="a7"/>
            <w:sz w:val="28"/>
            <w:szCs w:val="28"/>
          </w:rPr>
          <w:t> 2</w:t>
        </w:r>
      </w:hyperlink>
      <w:r w:rsidRPr="00F06CC6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7126EF" w:rsidRPr="00923C5E" w:rsidRDefault="00DA6412" w:rsidP="007126EF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7126EF" w:rsidRPr="00923C5E">
        <w:rPr>
          <w:rFonts w:ascii="Times New Roman" w:hAnsi="Times New Roman" w:cs="Times New Roman"/>
          <w:color w:val="auto"/>
          <w:sz w:val="28"/>
          <w:szCs w:val="28"/>
        </w:rPr>
        <w:t>. Обоснование объёма финансовых ресурсов, необходимых для реализации муниципальной программы</w:t>
      </w:r>
    </w:p>
    <w:p w:rsidR="007126EF" w:rsidRPr="00923C5E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923C5E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осуществляется за счет средств федерального, бюджета Тамбовской области,  бюджета муниципального округа.</w:t>
      </w:r>
    </w:p>
    <w:p w:rsidR="007126EF" w:rsidRPr="00923C5E" w:rsidRDefault="007126EF" w:rsidP="007126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23C5E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на реализацию муниципальной программы утверждается решением </w:t>
      </w:r>
      <w:r w:rsidRPr="00923C5E">
        <w:rPr>
          <w:sz w:val="28"/>
          <w:szCs w:val="28"/>
        </w:rPr>
        <w:t>Совета депутатов Первомайского муниципального округа о бюджете муниципального округа на очередной финансовый год и на плановый период.</w:t>
      </w:r>
    </w:p>
    <w:p w:rsidR="007126EF" w:rsidRPr="0094531A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923C5E"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 (в период с 202</w:t>
      </w:r>
      <w:r w:rsidR="00235EE0">
        <w:rPr>
          <w:rFonts w:ascii="Times New Roman" w:hAnsi="Times New Roman" w:cs="Times New Roman"/>
          <w:sz w:val="28"/>
          <w:szCs w:val="28"/>
        </w:rPr>
        <w:t>4</w:t>
      </w:r>
      <w:r w:rsidRPr="00923C5E">
        <w:rPr>
          <w:rFonts w:ascii="Times New Roman" w:hAnsi="Times New Roman" w:cs="Times New Roman"/>
          <w:sz w:val="28"/>
          <w:szCs w:val="28"/>
        </w:rPr>
        <w:t xml:space="preserve"> по 2030 год</w:t>
      </w:r>
      <w:r w:rsidR="00235EE0">
        <w:rPr>
          <w:rFonts w:ascii="Times New Roman" w:hAnsi="Times New Roman" w:cs="Times New Roman"/>
          <w:sz w:val="28"/>
          <w:szCs w:val="28"/>
        </w:rPr>
        <w:t>ы</w:t>
      </w:r>
      <w:r w:rsidRPr="00923C5E">
        <w:rPr>
          <w:rFonts w:ascii="Times New Roman" w:hAnsi="Times New Roman" w:cs="Times New Roman"/>
          <w:sz w:val="28"/>
          <w:szCs w:val="28"/>
        </w:rPr>
        <w:t xml:space="preserve">) за счет всех источников составляет </w:t>
      </w:r>
      <w:r w:rsidR="0094531A">
        <w:rPr>
          <w:rFonts w:ascii="Times New Roman" w:hAnsi="Times New Roman" w:cs="Times New Roman"/>
          <w:sz w:val="28"/>
          <w:szCs w:val="28"/>
        </w:rPr>
        <w:t>7</w:t>
      </w:r>
      <w:r w:rsidR="00235EE0">
        <w:rPr>
          <w:rFonts w:ascii="Times New Roman" w:hAnsi="Times New Roman" w:cs="Times New Roman"/>
          <w:sz w:val="28"/>
          <w:szCs w:val="28"/>
        </w:rPr>
        <w:t>45593,1</w:t>
      </w:r>
      <w:r w:rsidRPr="00923C5E">
        <w:rPr>
          <w:rFonts w:ascii="Times New Roman" w:hAnsi="Times New Roman" w:cs="Times New Roman"/>
          <w:sz w:val="28"/>
          <w:szCs w:val="28"/>
        </w:rPr>
        <w:t xml:space="preserve"> </w:t>
      </w:r>
      <w:r w:rsidRPr="0094531A">
        <w:rPr>
          <w:rFonts w:ascii="Times New Roman" w:hAnsi="Times New Roman" w:cs="Times New Roman"/>
          <w:sz w:val="28"/>
          <w:szCs w:val="28"/>
        </w:rPr>
        <w:t>тыс. руб., из них средства федерального бюджета –</w:t>
      </w:r>
      <w:r w:rsidR="00235EE0">
        <w:rPr>
          <w:rFonts w:ascii="Times New Roman" w:hAnsi="Times New Roman" w:cs="Times New Roman"/>
          <w:sz w:val="28"/>
          <w:szCs w:val="28"/>
        </w:rPr>
        <w:t xml:space="preserve"> 9639,0</w:t>
      </w:r>
      <w:r w:rsidRPr="0094531A">
        <w:rPr>
          <w:rFonts w:ascii="Times New Roman" w:hAnsi="Times New Roman" w:cs="Times New Roman"/>
          <w:sz w:val="28"/>
          <w:szCs w:val="28"/>
        </w:rPr>
        <w:t xml:space="preserve"> тыс. руб., бюджет Первомайского муниципального округа –</w:t>
      </w:r>
      <w:r w:rsidR="0094531A" w:rsidRPr="0094531A">
        <w:rPr>
          <w:rFonts w:ascii="Times New Roman" w:hAnsi="Times New Roman" w:cs="Times New Roman"/>
          <w:sz w:val="28"/>
          <w:szCs w:val="28"/>
        </w:rPr>
        <w:t xml:space="preserve"> 7</w:t>
      </w:r>
      <w:r w:rsidR="00235EE0">
        <w:rPr>
          <w:rFonts w:ascii="Times New Roman" w:hAnsi="Times New Roman" w:cs="Times New Roman"/>
          <w:sz w:val="28"/>
          <w:szCs w:val="28"/>
        </w:rPr>
        <w:t>3</w:t>
      </w:r>
      <w:r w:rsidR="004207C4">
        <w:rPr>
          <w:rFonts w:ascii="Times New Roman" w:hAnsi="Times New Roman" w:cs="Times New Roman"/>
          <w:sz w:val="28"/>
          <w:szCs w:val="28"/>
        </w:rPr>
        <w:t>5</w:t>
      </w:r>
      <w:r w:rsidR="00235EE0">
        <w:rPr>
          <w:rFonts w:ascii="Times New Roman" w:hAnsi="Times New Roman" w:cs="Times New Roman"/>
          <w:sz w:val="28"/>
          <w:szCs w:val="28"/>
        </w:rPr>
        <w:t>954,1</w:t>
      </w:r>
      <w:r w:rsidRPr="009453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126EF" w:rsidRPr="00756A3D" w:rsidRDefault="007126EF" w:rsidP="007126EF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56A3D">
        <w:rPr>
          <w:rFonts w:ascii="Times New Roman" w:hAnsi="Times New Roman" w:cs="Times New Roman"/>
          <w:sz w:val="28"/>
          <w:szCs w:val="28"/>
        </w:rPr>
        <w:t>Объемы бюджетных ассигнований уточняются ежегодно при формировании бюджета на очередной финансовый год и на плановый период.</w:t>
      </w:r>
    </w:p>
    <w:p w:rsidR="007126EF" w:rsidRPr="00756A3D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756A3D">
        <w:rPr>
          <w:rFonts w:ascii="Times New Roman" w:hAnsi="Times New Roman" w:cs="Times New Roman"/>
          <w:sz w:val="28"/>
          <w:szCs w:val="28"/>
        </w:rPr>
        <w:t xml:space="preserve">Более подробная информация по ресурсному обеспечению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56A3D">
        <w:rPr>
          <w:rFonts w:ascii="Times New Roman" w:hAnsi="Times New Roman" w:cs="Times New Roman"/>
          <w:sz w:val="28"/>
          <w:szCs w:val="28"/>
        </w:rPr>
        <w:t xml:space="preserve">программы и прогнозной оценке на период до 2030 года представлена соответственно в </w:t>
      </w:r>
      <w:hyperlink w:anchor="sub_12000" w:history="1">
        <w:r w:rsidRPr="00756A3D">
          <w:rPr>
            <w:rStyle w:val="a7"/>
            <w:sz w:val="28"/>
            <w:szCs w:val="28"/>
          </w:rPr>
          <w:t>приложени</w:t>
        </w:r>
        <w:r>
          <w:rPr>
            <w:rStyle w:val="a7"/>
            <w:sz w:val="28"/>
            <w:szCs w:val="28"/>
          </w:rPr>
          <w:t>и</w:t>
        </w:r>
        <w:r w:rsidRPr="00756A3D">
          <w:rPr>
            <w:rStyle w:val="a7"/>
            <w:sz w:val="28"/>
            <w:szCs w:val="28"/>
          </w:rPr>
          <w:t xml:space="preserve"> </w:t>
        </w:r>
        <w:r>
          <w:rPr>
            <w:rStyle w:val="a7"/>
            <w:sz w:val="28"/>
            <w:szCs w:val="28"/>
          </w:rPr>
          <w:t>№</w:t>
        </w:r>
        <w:r w:rsidRPr="00756A3D">
          <w:rPr>
            <w:rStyle w:val="a7"/>
            <w:sz w:val="28"/>
            <w:szCs w:val="28"/>
          </w:rPr>
          <w:t> </w:t>
        </w:r>
      </w:hyperlink>
      <w:hyperlink w:anchor="sub_13000" w:history="1">
        <w:r w:rsidRPr="00756A3D">
          <w:rPr>
            <w:rStyle w:val="a7"/>
            <w:sz w:val="28"/>
            <w:szCs w:val="28"/>
          </w:rPr>
          <w:t>3</w:t>
        </w:r>
      </w:hyperlink>
      <w:r w:rsidRPr="00756A3D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7126EF" w:rsidRPr="007B3978" w:rsidRDefault="007126EF" w:rsidP="007126EF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7B3978">
        <w:rPr>
          <w:rFonts w:ascii="Times New Roman" w:hAnsi="Times New Roman" w:cs="Times New Roman"/>
          <w:color w:val="auto"/>
          <w:sz w:val="28"/>
          <w:szCs w:val="28"/>
        </w:rPr>
        <w:t>6. Механизмы реализации муниципальной программы</w:t>
      </w:r>
    </w:p>
    <w:p w:rsidR="00E52035" w:rsidRPr="003178CB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7B3978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во взаимодействии ответственного исполнителя с соисполнителями, в порядке, </w:t>
      </w:r>
      <w:r w:rsidRPr="003178CB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E52035" w:rsidRPr="003178CB">
        <w:rPr>
          <w:rFonts w:ascii="Times New Roman" w:hAnsi="Times New Roman" w:cs="Times New Roman"/>
          <w:sz w:val="28"/>
          <w:szCs w:val="28"/>
        </w:rPr>
        <w:t xml:space="preserve"> </w:t>
      </w:r>
      <w:r w:rsidRPr="003178CB">
        <w:rPr>
          <w:rFonts w:ascii="Times New Roman" w:hAnsi="Times New Roman" w:cs="Times New Roman"/>
          <w:sz w:val="28"/>
          <w:szCs w:val="28"/>
        </w:rPr>
        <w:t>постановлением</w:t>
      </w:r>
      <w:r w:rsidR="00E52035" w:rsidRPr="003178CB">
        <w:rPr>
          <w:rFonts w:ascii="Times New Roman" w:hAnsi="Times New Roman" w:cs="Times New Roman"/>
          <w:sz w:val="28"/>
          <w:szCs w:val="28"/>
        </w:rPr>
        <w:t xml:space="preserve"> </w:t>
      </w:r>
      <w:r w:rsidRPr="003178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52035" w:rsidRPr="003178CB">
        <w:rPr>
          <w:rFonts w:ascii="Times New Roman" w:hAnsi="Times New Roman" w:cs="Times New Roman"/>
          <w:sz w:val="28"/>
          <w:szCs w:val="28"/>
        </w:rPr>
        <w:t xml:space="preserve"> </w:t>
      </w:r>
      <w:r w:rsidRPr="003178CB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E52035" w:rsidRPr="003178CB">
        <w:rPr>
          <w:rFonts w:ascii="Times New Roman" w:hAnsi="Times New Roman" w:cs="Times New Roman"/>
          <w:sz w:val="28"/>
          <w:szCs w:val="28"/>
        </w:rPr>
        <w:t xml:space="preserve">09.01.2024 № 10 </w:t>
      </w:r>
    </w:p>
    <w:p w:rsidR="00E52035" w:rsidRPr="003178CB" w:rsidRDefault="00E52035" w:rsidP="00E5203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178CB">
        <w:rPr>
          <w:rFonts w:ascii="Times New Roman" w:hAnsi="Times New Roman" w:cs="Times New Roman"/>
          <w:sz w:val="28"/>
          <w:szCs w:val="28"/>
        </w:rPr>
        <w:t>«Об утверждении Порядка разработки, утверждения и реализации муниципальных программ Первомайского муниципального округа»</w:t>
      </w:r>
      <w:r w:rsidR="007126EF" w:rsidRPr="003178CB">
        <w:rPr>
          <w:rFonts w:ascii="Times New Roman" w:hAnsi="Times New Roman" w:cs="Times New Roman"/>
          <w:sz w:val="28"/>
          <w:szCs w:val="28"/>
        </w:rPr>
        <w:t>.</w:t>
      </w:r>
    </w:p>
    <w:p w:rsidR="007126EF" w:rsidRPr="007B3978" w:rsidRDefault="007126EF" w:rsidP="00E5203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B397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является отдел экономики</w:t>
      </w:r>
      <w:r w:rsidR="00A5417D">
        <w:rPr>
          <w:rFonts w:ascii="Times New Roman" w:hAnsi="Times New Roman" w:cs="Times New Roman"/>
          <w:sz w:val="28"/>
          <w:szCs w:val="28"/>
        </w:rPr>
        <w:t xml:space="preserve"> и инвестиционной политики</w:t>
      </w:r>
      <w:r w:rsidRPr="007B3978">
        <w:rPr>
          <w:rFonts w:ascii="Times New Roman" w:hAnsi="Times New Roman" w:cs="Times New Roman"/>
          <w:sz w:val="28"/>
          <w:szCs w:val="28"/>
        </w:rPr>
        <w:t xml:space="preserve"> администрации округа, </w:t>
      </w:r>
      <w:r w:rsidRPr="007B3978">
        <w:rPr>
          <w:rFonts w:ascii="Times New Roman" w:hAnsi="Times New Roman" w:cs="Times New Roman"/>
          <w:sz w:val="28"/>
          <w:szCs w:val="28"/>
        </w:rPr>
        <w:lastRenderedPageBreak/>
        <w:t xml:space="preserve">соисполнителями - </w:t>
      </w:r>
      <w:r w:rsidR="003B06DA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муниципального округа; </w:t>
      </w:r>
      <w:r w:rsidR="003B06DA" w:rsidRPr="000D66A9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"Многофункциональный Центр предоставления государственных и муниципальных услуг населению Первомайского </w:t>
      </w:r>
      <w:r w:rsidR="003B06D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B06DA" w:rsidRPr="000D66A9">
        <w:rPr>
          <w:rFonts w:ascii="Times New Roman" w:hAnsi="Times New Roman" w:cs="Times New Roman"/>
          <w:sz w:val="28"/>
          <w:szCs w:val="28"/>
        </w:rPr>
        <w:t xml:space="preserve"> ";</w:t>
      </w:r>
      <w:r w:rsidR="003B06DA">
        <w:rPr>
          <w:rFonts w:ascii="Times New Roman" w:hAnsi="Times New Roman" w:cs="Times New Roman"/>
          <w:sz w:val="28"/>
          <w:szCs w:val="28"/>
        </w:rPr>
        <w:t xml:space="preserve"> </w:t>
      </w:r>
      <w:r w:rsidR="003B06DA" w:rsidRPr="000D66A9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"Служба организационно-технического обеспечения деятельности администрации Первомайского </w:t>
      </w:r>
      <w:r w:rsidR="003B06D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B06DA" w:rsidRPr="000D66A9">
        <w:rPr>
          <w:rFonts w:ascii="Times New Roman" w:hAnsi="Times New Roman" w:cs="Times New Roman"/>
          <w:sz w:val="28"/>
          <w:szCs w:val="28"/>
        </w:rPr>
        <w:t xml:space="preserve"> Тамбовской области".</w:t>
      </w:r>
    </w:p>
    <w:p w:rsidR="007126EF" w:rsidRPr="007B3978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7B3978">
        <w:rPr>
          <w:rFonts w:ascii="Times New Roman" w:hAnsi="Times New Roman" w:cs="Times New Roman"/>
          <w:sz w:val="28"/>
          <w:szCs w:val="28"/>
        </w:rPr>
        <w:t>Муниципальная программа предусматривает персональную ответственность исполнителей за реализацию закрепленных за ними мероприятий.</w:t>
      </w:r>
    </w:p>
    <w:p w:rsidR="007126EF" w:rsidRPr="00961B77" w:rsidRDefault="007126EF" w:rsidP="00E2063C">
      <w:pPr>
        <w:rPr>
          <w:rFonts w:ascii="Times New Roman" w:hAnsi="Times New Roman" w:cs="Times New Roman"/>
          <w:sz w:val="28"/>
          <w:szCs w:val="28"/>
        </w:rPr>
      </w:pPr>
      <w:r w:rsidRPr="007B3978">
        <w:rPr>
          <w:rFonts w:ascii="Times New Roman" w:hAnsi="Times New Roman" w:cs="Times New Roman"/>
          <w:sz w:val="28"/>
          <w:szCs w:val="28"/>
        </w:rPr>
        <w:t>Для единого подхода к выполнению всего комплекса мероприятий муниципальной программы, целенаправленного и эффективного расходования</w:t>
      </w:r>
      <w:r w:rsidRPr="00C02B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61B77">
        <w:rPr>
          <w:rFonts w:ascii="Times New Roman" w:hAnsi="Times New Roman" w:cs="Times New Roman"/>
          <w:sz w:val="28"/>
          <w:szCs w:val="28"/>
        </w:rPr>
        <w:t>финансовых  средств,  выделенных  на ее реализацию, необходимо  четкое</w:t>
      </w:r>
      <w:r w:rsidR="00E2063C">
        <w:rPr>
          <w:rFonts w:ascii="Times New Roman" w:hAnsi="Times New Roman" w:cs="Times New Roman"/>
          <w:sz w:val="28"/>
          <w:szCs w:val="28"/>
        </w:rPr>
        <w:t xml:space="preserve"> </w:t>
      </w:r>
      <w:r w:rsidRPr="00961B77">
        <w:rPr>
          <w:rFonts w:ascii="Times New Roman" w:hAnsi="Times New Roman" w:cs="Times New Roman"/>
          <w:sz w:val="28"/>
          <w:szCs w:val="28"/>
        </w:rPr>
        <w:t>взаимодействие  между всеми  исполнителями  муниципальной программы.</w:t>
      </w:r>
    </w:p>
    <w:p w:rsidR="007126EF" w:rsidRPr="00224FAE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224FAE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программы:</w:t>
      </w:r>
    </w:p>
    <w:p w:rsidR="007126EF" w:rsidRPr="00040BA1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6D1151">
        <w:rPr>
          <w:rFonts w:ascii="Times New Roman" w:hAnsi="Times New Roman" w:cs="Times New Roman"/>
          <w:sz w:val="28"/>
          <w:szCs w:val="28"/>
        </w:rPr>
        <w:t>-обеспечивает совместно с соисполнителями разработку проекта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040BA1">
        <w:rPr>
          <w:rFonts w:ascii="Times New Roman" w:hAnsi="Times New Roman" w:cs="Times New Roman"/>
          <w:sz w:val="28"/>
          <w:szCs w:val="28"/>
        </w:rPr>
        <w:t>, вносит предложение о внесении  в неё изменений и несет ответственность за достижение показателей (индикаторов) муниципальной программы в целом, а также конечных результатов ее реализации;</w:t>
      </w:r>
    </w:p>
    <w:p w:rsidR="007126EF" w:rsidRPr="00040BA1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040BA1">
        <w:rPr>
          <w:rFonts w:ascii="Times New Roman" w:hAnsi="Times New Roman" w:cs="Times New Roman"/>
          <w:sz w:val="28"/>
          <w:szCs w:val="28"/>
        </w:rPr>
        <w:t>-запрашивает у соисполнителей информацию, необходимую для проведения оценки эффективности муниципальной программы и подготовки отчетов о ходе реализации  и оценке эффективности муниципальной программы.</w:t>
      </w:r>
    </w:p>
    <w:p w:rsidR="007126EF" w:rsidRPr="00DD52C7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DD52C7">
        <w:rPr>
          <w:rFonts w:ascii="Times New Roman" w:hAnsi="Times New Roman" w:cs="Times New Roman"/>
          <w:sz w:val="28"/>
          <w:szCs w:val="28"/>
        </w:rPr>
        <w:t>Соисполнитель муниципальной программы: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DD52C7">
        <w:rPr>
          <w:rFonts w:ascii="Times New Roman" w:hAnsi="Times New Roman" w:cs="Times New Roman"/>
          <w:sz w:val="28"/>
          <w:szCs w:val="28"/>
        </w:rPr>
        <w:t>-разрабатывает и осуществляет реализацию направлений (подпрограмм) муниципальной программы, в отношении которой он является соисполнителем;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-обеспечивает целевое и эффективное использование средств;</w:t>
      </w:r>
    </w:p>
    <w:p w:rsidR="007126EF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-несет ответственность за показатели в части его касающейся;</w:t>
      </w:r>
    </w:p>
    <w:p w:rsidR="007126EF" w:rsidRPr="00DD52C7" w:rsidRDefault="007126EF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-представляет в установленный срок ответственному исполнителю  информацию, необходимую для проведения оценки эффективности муниципальной программы и подготовки отчетов о ходе реализации  муниципальной программы</w:t>
      </w:r>
      <w:r w:rsidR="00647F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6EF" w:rsidRPr="009E605F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9E605F">
        <w:rPr>
          <w:rFonts w:ascii="Times New Roman" w:hAnsi="Times New Roman" w:cs="Times New Roman"/>
          <w:sz w:val="28"/>
          <w:szCs w:val="28"/>
        </w:rPr>
        <w:t>Ответственный исполнитель размещает на официальном сайте в информационно-телекоммуникационной сети "Интернет" информацию о ходе реализации муниципальной программы, достижении значений показателей (индикаторов) муниципальной программы, степени выполнения мероприятий муниципальной программы.</w:t>
      </w:r>
    </w:p>
    <w:p w:rsidR="007126EF" w:rsidRPr="009E605F" w:rsidRDefault="00EF3339" w:rsidP="0071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Ответственные и</w:t>
      </w:r>
      <w:r w:rsidR="007126EF" w:rsidRPr="009E605F">
        <w:rPr>
          <w:rFonts w:ascii="Times New Roman" w:hAnsi="Times New Roman" w:cs="Times New Roman"/>
          <w:sz w:val="28"/>
          <w:szCs w:val="28"/>
        </w:rPr>
        <w:t>сполнители</w:t>
      </w:r>
      <w:r>
        <w:rPr>
          <w:rFonts w:ascii="Times New Roman" w:hAnsi="Times New Roman" w:cs="Times New Roman"/>
          <w:sz w:val="28"/>
          <w:szCs w:val="28"/>
        </w:rPr>
        <w:t>, соисполнители несут предусмотренную федеральными законами и законами Тамбовской области ответственность за эффективность реализации</w:t>
      </w:r>
      <w:r w:rsidR="007126EF" w:rsidRPr="009E6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программы, не достижение результатов муниципальной программы, а также достоверность информации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по муниципальной программе, представляемой в установленном порядке.</w:t>
      </w:r>
    </w:p>
    <w:p w:rsidR="007126EF" w:rsidRPr="009E605F" w:rsidRDefault="007126EF" w:rsidP="007126EF">
      <w:pPr>
        <w:rPr>
          <w:rFonts w:ascii="Times New Roman" w:hAnsi="Times New Roman" w:cs="Times New Roman"/>
          <w:sz w:val="28"/>
          <w:szCs w:val="28"/>
        </w:rPr>
      </w:pPr>
      <w:r w:rsidRPr="009E605F">
        <w:rPr>
          <w:rFonts w:ascii="Times New Roman" w:hAnsi="Times New Roman" w:cs="Times New Roman"/>
          <w:sz w:val="28"/>
          <w:szCs w:val="28"/>
        </w:rPr>
        <w:t>Ожидаемые конечные результаты и социально-экономические последствия реализации муниципальной программы станут существенным вкладом в достижение важнейших стратегических целей социально-экономического развития Первомайского муниципального округа  и приоритетов государственной политики.</w:t>
      </w:r>
    </w:p>
    <w:p w:rsidR="008E4A6A" w:rsidRDefault="007126EF">
      <w:r w:rsidRPr="009E605F">
        <w:rPr>
          <w:sz w:val="28"/>
          <w:szCs w:val="28"/>
        </w:rPr>
        <w:t>Реализация муниципальной программы позволит повысить инвестиционную привлекательность округа, дальнейшее развитие малого и среднего предпринимательства, совершенствование механизмов государственного управления.</w:t>
      </w:r>
    </w:p>
    <w:p w:rsidR="00605D0A" w:rsidRDefault="00605D0A" w:rsidP="001577AC">
      <w:pPr>
        <w:ind w:firstLine="0"/>
        <w:sectPr w:rsidR="00605D0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AA747A" w:rsidRPr="00D12EAD" w:rsidRDefault="00AA747A" w:rsidP="001577AC">
      <w:pPr>
        <w:tabs>
          <w:tab w:val="left" w:pos="11766"/>
        </w:tabs>
        <w:ind w:firstLine="0"/>
        <w:rPr>
          <w:rFonts w:ascii="Times New Roman" w:hAnsi="Times New Roman"/>
          <w:sz w:val="28"/>
          <w:szCs w:val="28"/>
        </w:rPr>
      </w:pPr>
    </w:p>
    <w:sectPr w:rsidR="00AA747A" w:rsidRPr="00D12EAD" w:rsidSect="00EC66EC">
      <w:headerReference w:type="default" r:id="rId19"/>
      <w:footerReference w:type="default" r:id="rId20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F5" w:rsidRDefault="00985DF5">
      <w:r>
        <w:separator/>
      </w:r>
    </w:p>
  </w:endnote>
  <w:endnote w:type="continuationSeparator" w:id="0">
    <w:p w:rsidR="00985DF5" w:rsidRDefault="0098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EE" w:rsidRDefault="009E34E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EE" w:rsidRDefault="009E34EE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EE" w:rsidRDefault="009E34EE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F5" w:rsidRDefault="00985DF5">
      <w:r>
        <w:separator/>
      </w:r>
    </w:p>
  </w:footnote>
  <w:footnote w:type="continuationSeparator" w:id="0">
    <w:p w:rsidR="00985DF5" w:rsidRDefault="00985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EE" w:rsidRDefault="009E34E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404371"/>
      <w:docPartObj>
        <w:docPartGallery w:val="Page Numbers (Top of Page)"/>
        <w:docPartUnique/>
      </w:docPartObj>
    </w:sdtPr>
    <w:sdtEndPr/>
    <w:sdtContent>
      <w:p w:rsidR="00D1530F" w:rsidRDefault="00D1530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7AC">
          <w:rPr>
            <w:noProof/>
          </w:rPr>
          <w:t>13</w:t>
        </w:r>
        <w:r>
          <w:fldChar w:fldCharType="end"/>
        </w:r>
      </w:p>
    </w:sdtContent>
  </w:sdt>
  <w:p w:rsidR="009E34EE" w:rsidRDefault="009E34EE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EE" w:rsidRDefault="009E34EE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2C" w:rsidRDefault="00917D2C">
    <w:pPr>
      <w:pStyle w:val="af"/>
    </w:pPr>
  </w:p>
  <w:p w:rsidR="009E34EE" w:rsidRPr="00DA5C41" w:rsidRDefault="009E34EE" w:rsidP="002F67C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3E9C"/>
    <w:rsid w:val="00014AC0"/>
    <w:rsid w:val="000176E8"/>
    <w:rsid w:val="00030010"/>
    <w:rsid w:val="00033FE8"/>
    <w:rsid w:val="0004029A"/>
    <w:rsid w:val="0004417B"/>
    <w:rsid w:val="000459F7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30A7"/>
    <w:rsid w:val="000B12AA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2DAC"/>
    <w:rsid w:val="0010348E"/>
    <w:rsid w:val="00104E38"/>
    <w:rsid w:val="00106051"/>
    <w:rsid w:val="001109AC"/>
    <w:rsid w:val="00111C16"/>
    <w:rsid w:val="001139F8"/>
    <w:rsid w:val="001229C6"/>
    <w:rsid w:val="00124FD1"/>
    <w:rsid w:val="00126B26"/>
    <w:rsid w:val="0013184F"/>
    <w:rsid w:val="00131EDC"/>
    <w:rsid w:val="00133F58"/>
    <w:rsid w:val="00135DC4"/>
    <w:rsid w:val="00141CA5"/>
    <w:rsid w:val="001515FE"/>
    <w:rsid w:val="00156045"/>
    <w:rsid w:val="00156E28"/>
    <w:rsid w:val="00156EDB"/>
    <w:rsid w:val="001575F2"/>
    <w:rsid w:val="001577AC"/>
    <w:rsid w:val="00162CDC"/>
    <w:rsid w:val="00164100"/>
    <w:rsid w:val="00170E7D"/>
    <w:rsid w:val="001724B4"/>
    <w:rsid w:val="0017432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B6ECF"/>
    <w:rsid w:val="001C1FE0"/>
    <w:rsid w:val="001C5162"/>
    <w:rsid w:val="001D1826"/>
    <w:rsid w:val="001D31D2"/>
    <w:rsid w:val="001E20A9"/>
    <w:rsid w:val="001E6B12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26F2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C674B"/>
    <w:rsid w:val="002D172D"/>
    <w:rsid w:val="002D2B74"/>
    <w:rsid w:val="002E3796"/>
    <w:rsid w:val="002E4392"/>
    <w:rsid w:val="002E6951"/>
    <w:rsid w:val="002E7029"/>
    <w:rsid w:val="002F007D"/>
    <w:rsid w:val="002F5C44"/>
    <w:rsid w:val="002F67CF"/>
    <w:rsid w:val="002F723C"/>
    <w:rsid w:val="003007A1"/>
    <w:rsid w:val="0030232F"/>
    <w:rsid w:val="003100EF"/>
    <w:rsid w:val="00310F16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C7C87"/>
    <w:rsid w:val="003D04EB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3545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38E3"/>
    <w:rsid w:val="004573F7"/>
    <w:rsid w:val="00460E78"/>
    <w:rsid w:val="00473AE6"/>
    <w:rsid w:val="0047612E"/>
    <w:rsid w:val="00480B9A"/>
    <w:rsid w:val="0048560F"/>
    <w:rsid w:val="004859D3"/>
    <w:rsid w:val="004861E8"/>
    <w:rsid w:val="0049127C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3A0C"/>
    <w:rsid w:val="004F7A22"/>
    <w:rsid w:val="00504A4A"/>
    <w:rsid w:val="00507895"/>
    <w:rsid w:val="00512C5B"/>
    <w:rsid w:val="00513FD3"/>
    <w:rsid w:val="0051606D"/>
    <w:rsid w:val="00516149"/>
    <w:rsid w:val="00521AC6"/>
    <w:rsid w:val="00526DAD"/>
    <w:rsid w:val="00526FFE"/>
    <w:rsid w:val="00532012"/>
    <w:rsid w:val="00540670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033F"/>
    <w:rsid w:val="00601E23"/>
    <w:rsid w:val="00605D0A"/>
    <w:rsid w:val="00610A90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645D"/>
    <w:rsid w:val="006B1369"/>
    <w:rsid w:val="006B3C57"/>
    <w:rsid w:val="006C4620"/>
    <w:rsid w:val="006D0CA3"/>
    <w:rsid w:val="006D20F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336D"/>
    <w:rsid w:val="008044CE"/>
    <w:rsid w:val="008203D5"/>
    <w:rsid w:val="00820F15"/>
    <w:rsid w:val="00823A27"/>
    <w:rsid w:val="008268C3"/>
    <w:rsid w:val="00833099"/>
    <w:rsid w:val="00837705"/>
    <w:rsid w:val="00850043"/>
    <w:rsid w:val="008519A9"/>
    <w:rsid w:val="00851E60"/>
    <w:rsid w:val="00852203"/>
    <w:rsid w:val="00856FD6"/>
    <w:rsid w:val="008574E8"/>
    <w:rsid w:val="0086616D"/>
    <w:rsid w:val="0086638A"/>
    <w:rsid w:val="00866B56"/>
    <w:rsid w:val="008670EB"/>
    <w:rsid w:val="008709FB"/>
    <w:rsid w:val="00872927"/>
    <w:rsid w:val="008729DA"/>
    <w:rsid w:val="00873025"/>
    <w:rsid w:val="00885045"/>
    <w:rsid w:val="008865C8"/>
    <w:rsid w:val="008978DE"/>
    <w:rsid w:val="00897F1E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5C76"/>
    <w:rsid w:val="008D65D2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5DF5"/>
    <w:rsid w:val="00987743"/>
    <w:rsid w:val="009902F9"/>
    <w:rsid w:val="009905ED"/>
    <w:rsid w:val="009927BB"/>
    <w:rsid w:val="00994557"/>
    <w:rsid w:val="009A02D7"/>
    <w:rsid w:val="009A32D3"/>
    <w:rsid w:val="009A41B5"/>
    <w:rsid w:val="009A420E"/>
    <w:rsid w:val="009B0064"/>
    <w:rsid w:val="009B069F"/>
    <w:rsid w:val="009C0025"/>
    <w:rsid w:val="009C028A"/>
    <w:rsid w:val="009D4F74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56C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FF1"/>
    <w:rsid w:val="00B3583C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718D7"/>
    <w:rsid w:val="00B72CC9"/>
    <w:rsid w:val="00B7519D"/>
    <w:rsid w:val="00B77CA7"/>
    <w:rsid w:val="00B91D43"/>
    <w:rsid w:val="00BA3AAD"/>
    <w:rsid w:val="00BA60F2"/>
    <w:rsid w:val="00BB7AD9"/>
    <w:rsid w:val="00BB7F11"/>
    <w:rsid w:val="00BC0BAD"/>
    <w:rsid w:val="00BC18E4"/>
    <w:rsid w:val="00BC33A7"/>
    <w:rsid w:val="00BD2AC8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9580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1530F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1B26"/>
    <w:rsid w:val="00DF3D88"/>
    <w:rsid w:val="00E07915"/>
    <w:rsid w:val="00E10C80"/>
    <w:rsid w:val="00E12461"/>
    <w:rsid w:val="00E2063C"/>
    <w:rsid w:val="00E24664"/>
    <w:rsid w:val="00E257E4"/>
    <w:rsid w:val="00E26813"/>
    <w:rsid w:val="00E34340"/>
    <w:rsid w:val="00E36E48"/>
    <w:rsid w:val="00E36E8F"/>
    <w:rsid w:val="00E40DF9"/>
    <w:rsid w:val="00E513F8"/>
    <w:rsid w:val="00E5151B"/>
    <w:rsid w:val="00E52035"/>
    <w:rsid w:val="00E53EE1"/>
    <w:rsid w:val="00E54EDA"/>
    <w:rsid w:val="00E66631"/>
    <w:rsid w:val="00E66873"/>
    <w:rsid w:val="00E70131"/>
    <w:rsid w:val="00E725E1"/>
    <w:rsid w:val="00E73816"/>
    <w:rsid w:val="00E81C1C"/>
    <w:rsid w:val="00E829CB"/>
    <w:rsid w:val="00E8455B"/>
    <w:rsid w:val="00E85CC1"/>
    <w:rsid w:val="00E91609"/>
    <w:rsid w:val="00E95B3B"/>
    <w:rsid w:val="00EA0101"/>
    <w:rsid w:val="00EA07B9"/>
    <w:rsid w:val="00EA0DF6"/>
    <w:rsid w:val="00EA1C22"/>
    <w:rsid w:val="00EA268D"/>
    <w:rsid w:val="00EA5EFD"/>
    <w:rsid w:val="00EA5FBB"/>
    <w:rsid w:val="00EA7AA3"/>
    <w:rsid w:val="00EB01F5"/>
    <w:rsid w:val="00EB19AA"/>
    <w:rsid w:val="00EB4161"/>
    <w:rsid w:val="00EB6857"/>
    <w:rsid w:val="00EC25A8"/>
    <w:rsid w:val="00EC317E"/>
    <w:rsid w:val="00EC4ADF"/>
    <w:rsid w:val="00EC668F"/>
    <w:rsid w:val="00EC66EC"/>
    <w:rsid w:val="00EC6FE1"/>
    <w:rsid w:val="00ED12FC"/>
    <w:rsid w:val="00ED24A7"/>
    <w:rsid w:val="00EE0B7D"/>
    <w:rsid w:val="00EE10F4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55F76"/>
    <w:rsid w:val="00F62E0C"/>
    <w:rsid w:val="00F65E1A"/>
    <w:rsid w:val="00F744AD"/>
    <w:rsid w:val="00F754D5"/>
    <w:rsid w:val="00F7580C"/>
    <w:rsid w:val="00F81FDB"/>
    <w:rsid w:val="00F826F9"/>
    <w:rsid w:val="00F91207"/>
    <w:rsid w:val="00F95913"/>
    <w:rsid w:val="00FA2795"/>
    <w:rsid w:val="00FB017D"/>
    <w:rsid w:val="00FC086B"/>
    <w:rsid w:val="00FC328C"/>
    <w:rsid w:val="00FC3928"/>
    <w:rsid w:val="00FC3AC7"/>
    <w:rsid w:val="00FC6AFB"/>
    <w:rsid w:val="00FD094F"/>
    <w:rsid w:val="00FD4225"/>
    <w:rsid w:val="00FD6F26"/>
    <w:rsid w:val="00FE64CE"/>
    <w:rsid w:val="00FF262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  <w:style w:type="paragraph" w:styleId="af8">
    <w:name w:val="Title"/>
    <w:basedOn w:val="a"/>
    <w:next w:val="a"/>
    <w:link w:val="af9"/>
    <w:uiPriority w:val="10"/>
    <w:qFormat/>
    <w:rsid w:val="001577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10"/>
    <w:rsid w:val="001577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  <w:style w:type="paragraph" w:styleId="af8">
    <w:name w:val="Title"/>
    <w:basedOn w:val="a"/>
    <w:next w:val="a"/>
    <w:link w:val="af9"/>
    <w:uiPriority w:val="10"/>
    <w:qFormat/>
    <w:rsid w:val="001577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10"/>
    <w:rsid w:val="001577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74404210/0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74464303/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document/redirect/72185938/0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2154854/0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40B11-570C-4F55-BA40-FA5B07CC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5039</Words>
  <Characters>28725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172</cp:revision>
  <cp:lastPrinted>2024-01-22T06:17:00Z</cp:lastPrinted>
  <dcterms:created xsi:type="dcterms:W3CDTF">2024-01-10T06:36:00Z</dcterms:created>
  <dcterms:modified xsi:type="dcterms:W3CDTF">2025-05-13T13:51:00Z</dcterms:modified>
</cp:coreProperties>
</file>