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5D3" w:rsidRPr="007C25D3" w:rsidRDefault="007C25D3" w:rsidP="007C25D3">
      <w:pPr>
        <w:widowControl/>
        <w:shd w:val="clear" w:color="auto" w:fill="FFFFFF"/>
        <w:tabs>
          <w:tab w:val="left" w:pos="15355"/>
        </w:tabs>
        <w:autoSpaceDE/>
        <w:autoSpaceDN/>
        <w:adjustRightInd/>
        <w:ind w:right="-995" w:firstLine="0"/>
        <w:rPr>
          <w:rFonts w:ascii="Times New Roman" w:eastAsia="Times New Roman" w:hAnsi="Times New Roman" w:cs="Times New Roman"/>
          <w:sz w:val="28"/>
          <w:szCs w:val="28"/>
        </w:rPr>
      </w:pPr>
      <w:r w:rsidRPr="007C25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C25D3">
        <w:rPr>
          <w:rFonts w:ascii="Times New Roman" w:eastAsia="Times New Roman" w:hAnsi="Times New Roman" w:cs="Times New Roman"/>
          <w:sz w:val="28"/>
          <w:szCs w:val="28"/>
        </w:rPr>
        <w:t>ПРИЛОЖЕНИЕ №6</w:t>
      </w:r>
    </w:p>
    <w:tbl>
      <w:tblPr>
        <w:tblStyle w:val="a9"/>
        <w:tblpPr w:leftFromText="180" w:rightFromText="180" w:vertAnchor="text" w:horzAnchor="margin" w:tblpX="3794" w:tblpY="3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2"/>
      </w:tblGrid>
      <w:tr w:rsidR="007C25D3" w:rsidRPr="007C25D3" w:rsidTr="00094A06">
        <w:trPr>
          <w:trHeight w:val="2428"/>
        </w:trPr>
        <w:tc>
          <w:tcPr>
            <w:tcW w:w="5792" w:type="dxa"/>
          </w:tcPr>
          <w:p w:rsidR="007C25D3" w:rsidRPr="007C25D3" w:rsidRDefault="007C25D3" w:rsidP="007C25D3">
            <w:pPr>
              <w:spacing w:before="108" w:after="108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25D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к муниципальной программе </w:t>
            </w:r>
            <w:r w:rsidRPr="007C25D3"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 муниципального округа Тамбовской области «</w:t>
            </w:r>
            <w:r w:rsidRPr="007C25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      </w:r>
            <w:r w:rsidRPr="007C25D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C25D3" w:rsidRPr="007C25D3" w:rsidRDefault="007C25D3" w:rsidP="007C25D3">
            <w:pPr>
              <w:spacing w:before="108" w:after="108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B16A59" w:rsidRDefault="00762C1A" w:rsidP="00B16A59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</w:t>
      </w:r>
      <w:r w:rsidR="007C25D3"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одпрограмма</w:t>
      </w:r>
      <w:r w:rsidR="007C25D3"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B16A59">
        <w:rPr>
          <w:rFonts w:ascii="Times New Roman" w:eastAsiaTheme="minorEastAsia" w:hAnsi="Times New Roman" w:cs="Times New Roman"/>
          <w:color w:val="auto"/>
          <w:sz w:val="28"/>
          <w:szCs w:val="28"/>
        </w:rPr>
        <w:t>«</w:t>
      </w:r>
      <w:r w:rsidR="007C25D3"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Обеспечение безопасности людей на водных объектах </w:t>
      </w:r>
    </w:p>
    <w:p w:rsidR="007C25D3" w:rsidRDefault="00762C1A" w:rsidP="00B16A59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муниципального округа</w:t>
      </w:r>
      <w:r w:rsidR="00B16A59">
        <w:rPr>
          <w:rFonts w:ascii="Times New Roman" w:eastAsiaTheme="minorEastAsia" w:hAnsi="Times New Roman" w:cs="Times New Roman"/>
          <w:color w:val="auto"/>
          <w:sz w:val="28"/>
          <w:szCs w:val="28"/>
        </w:rPr>
        <w:t>»</w:t>
      </w:r>
    </w:p>
    <w:p w:rsidR="00B16A59" w:rsidRPr="00B16A59" w:rsidRDefault="00B16A59" w:rsidP="00B16A59"/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Паспорт Подпрограммы</w:t>
      </w:r>
    </w:p>
    <w:p w:rsidR="007C25D3" w:rsidRPr="007C25D3" w:rsidRDefault="007C25D3" w:rsidP="007C25D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6999"/>
      </w:tblGrid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CD30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Отдел гражданской обороны, чрезвычайны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 xml:space="preserve">ситуаций и 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администрации 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62C1A" w:rsidP="00CD30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людей на водных объектах 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Основными задачами подпрограммы являются: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подготовленных мест безопасного купания и аттестованных пляжей;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создание общественных спасательных постов в местах массового отдыха населения;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оснащение спасательных постов имуществом и снаряжением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Обустройство мест безопасного купания и аттестованных пляжей (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пляж);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оснащение спасательных постов имуществом и снаряжением - 100%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6008"/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  <w:bookmarkEnd w:id="1"/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период с 2024 по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 2030 годы </w:t>
            </w:r>
          </w:p>
        </w:tc>
      </w:tr>
      <w:tr w:rsidR="007C25D3" w:rsidRPr="007C25D3" w:rsidTr="007C25D3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608"/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  <w:bookmarkEnd w:id="2"/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составит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-2205,0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</w:t>
            </w:r>
            <w:r w:rsidR="00762C1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003318" w:rsidRPr="00003318">
              <w:rPr>
                <w:rFonts w:ascii="Times New Roman" w:hAnsi="Times New Roman" w:cs="Times New Roman"/>
                <w:sz w:val="28"/>
                <w:szCs w:val="28"/>
              </w:rPr>
              <w:t>2205,0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2027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2028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2029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7C25D3" w:rsidRPr="007C25D3" w:rsidRDefault="007C25D3" w:rsidP="00762C1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 xml:space="preserve">2030 год - 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331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03318" w:rsidRPr="007C25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25D3">
              <w:rPr>
                <w:rFonts w:ascii="Times New Roman" w:hAnsi="Times New Roman" w:cs="Times New Roman"/>
                <w:sz w:val="28"/>
                <w:szCs w:val="28"/>
              </w:rPr>
              <w:t> тыс. рублей.</w:t>
            </w:r>
          </w:p>
        </w:tc>
      </w:tr>
    </w:tbl>
    <w:p w:rsidR="007C25D3" w:rsidRPr="007C25D3" w:rsidRDefault="007C25D3" w:rsidP="007C25D3">
      <w:pPr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" w:name="sub_6100"/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Общая характеристика сферы реализации подпрограммы</w:t>
      </w:r>
    </w:p>
    <w:bookmarkEnd w:id="3"/>
    <w:p w:rsidR="007C25D3" w:rsidRPr="007C25D3" w:rsidRDefault="007C25D3" w:rsidP="007C25D3">
      <w:pPr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В 20</w:t>
      </w:r>
      <w:r w:rsidR="00762C1A">
        <w:rPr>
          <w:rFonts w:ascii="Times New Roman" w:hAnsi="Times New Roman" w:cs="Times New Roman"/>
          <w:sz w:val="28"/>
          <w:szCs w:val="28"/>
        </w:rPr>
        <w:t>2</w:t>
      </w:r>
      <w:r w:rsidRPr="007C25D3">
        <w:rPr>
          <w:rFonts w:ascii="Times New Roman" w:hAnsi="Times New Roman" w:cs="Times New Roman"/>
          <w:sz w:val="28"/>
          <w:szCs w:val="28"/>
        </w:rPr>
        <w:t xml:space="preserve">3 году на водных объектах </w:t>
      </w:r>
      <w:r w:rsidR="00762C1A">
        <w:rPr>
          <w:rFonts w:ascii="Times New Roman" w:hAnsi="Times New Roman" w:cs="Times New Roman"/>
          <w:sz w:val="28"/>
          <w:szCs w:val="28"/>
        </w:rPr>
        <w:t>Первомайского муниципального округа произошло одно происшествие, в результате которого был спасен утопающий гражданин</w:t>
      </w:r>
      <w:r w:rsidRPr="007C25D3">
        <w:rPr>
          <w:rFonts w:ascii="Times New Roman" w:hAnsi="Times New Roman" w:cs="Times New Roman"/>
          <w:sz w:val="28"/>
          <w:szCs w:val="28"/>
        </w:rPr>
        <w:t>. Анализ последних лет свидетельствует о том, что в основном гибель людей на водных объектах происходит в несанкционированных местах купания, в то время как на специально оборудованных пляжах, оснащенных спасательными постами и подготовленных местах купания гибели людей нет.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Основной причиной гибели людей на водных объектах является купание в необорудованных местах.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62C1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C25D3">
        <w:rPr>
          <w:rFonts w:ascii="Times New Roman" w:hAnsi="Times New Roman" w:cs="Times New Roman"/>
          <w:sz w:val="28"/>
          <w:szCs w:val="28"/>
        </w:rPr>
        <w:t xml:space="preserve"> оборудовано одно место традиционного организационного отдыха населения на водных объектах.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Одним из основных требований, предъявляемым к пляжам является наличие спасательного поста и подготовленных матросов-спасателей.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В целях предупреждения гибели детей на водных объектах проводится их обучение плаванию в образовательных учреждениях дополнительного образования, загородных оздоровительных лагерях.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Безопасность людей на водных объектах не может быть обеспечена только в рамках основной деятельности </w:t>
      </w:r>
      <w:r w:rsidR="00762C1A">
        <w:rPr>
          <w:rFonts w:ascii="Times New Roman" w:hAnsi="Times New Roman" w:cs="Times New Roman"/>
          <w:sz w:val="28"/>
          <w:szCs w:val="28"/>
        </w:rPr>
        <w:t>надзорных органов</w:t>
      </w:r>
      <w:r w:rsidRPr="007C25D3">
        <w:rPr>
          <w:rFonts w:ascii="Times New Roman" w:hAnsi="Times New Roman" w:cs="Times New Roman"/>
          <w:sz w:val="28"/>
          <w:szCs w:val="28"/>
        </w:rPr>
        <w:t xml:space="preserve">. Характер проблемы требует наличия долговременной стратегии и использования организационно-финансовых механизмов взаимодействия, координации усилий и концентрации ресурсов </w:t>
      </w:r>
      <w:r w:rsidR="00762C1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C25D3">
        <w:rPr>
          <w:rFonts w:ascii="Times New Roman" w:hAnsi="Times New Roman" w:cs="Times New Roman"/>
          <w:sz w:val="28"/>
          <w:szCs w:val="28"/>
        </w:rPr>
        <w:t>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Решение обозначенных проблем позволит качественно и в лучшую сторону изменить существующее положение дел в вопросах обеспечения безопасности людей на водных объектах.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Таким образом, для решения указанных выше проблем, с учетом причин их возникновения, необходимо </w:t>
      </w:r>
      <w:proofErr w:type="gramStart"/>
      <w:r w:rsidRPr="007C25D3">
        <w:rPr>
          <w:rFonts w:ascii="Times New Roman" w:hAnsi="Times New Roman" w:cs="Times New Roman"/>
          <w:sz w:val="28"/>
          <w:szCs w:val="28"/>
        </w:rPr>
        <w:t>решение проблемной ситуации</w:t>
      </w:r>
      <w:proofErr w:type="gramEnd"/>
      <w:r w:rsidRPr="007C25D3">
        <w:rPr>
          <w:rFonts w:ascii="Times New Roman" w:hAnsi="Times New Roman" w:cs="Times New Roman"/>
          <w:sz w:val="28"/>
          <w:szCs w:val="28"/>
        </w:rPr>
        <w:t xml:space="preserve"> программно-целевым методом. Реализация мероприятий Подпрограммы позволит осуществить комплекс практических мер, направленных на уменьшение количества погибших на водных объектах, увеличение числа общественных спасательных постов и их оснащения.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C25D3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7C25D3" w:rsidRPr="007C25D3" w:rsidRDefault="007C25D3" w:rsidP="007C25D3">
      <w:pPr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sub_16009"/>
      <w:r w:rsidRPr="007C25D3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профилактики и предупреждения несчастных случаев на воде на период до 2030 года </w:t>
      </w:r>
      <w:r w:rsidRPr="007C25D3">
        <w:rPr>
          <w:rFonts w:ascii="Times New Roman" w:hAnsi="Times New Roman" w:cs="Times New Roman"/>
          <w:sz w:val="28"/>
          <w:szCs w:val="28"/>
        </w:rPr>
        <w:lastRenderedPageBreak/>
        <w:t>сформированы с учетом целей и задач</w:t>
      </w:r>
      <w:bookmarkEnd w:id="4"/>
      <w:r w:rsidR="00762C1A">
        <w:rPr>
          <w:rFonts w:ascii="Times New Roman" w:hAnsi="Times New Roman" w:cs="Times New Roman"/>
          <w:sz w:val="28"/>
          <w:szCs w:val="28"/>
        </w:rPr>
        <w:t>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Основной целью подпрограммы является обеспечение безопасности людей на водных объектах </w:t>
      </w:r>
      <w:r w:rsidR="00762C1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C25D3">
        <w:rPr>
          <w:rFonts w:ascii="Times New Roman" w:hAnsi="Times New Roman" w:cs="Times New Roman"/>
          <w:sz w:val="28"/>
          <w:szCs w:val="28"/>
        </w:rPr>
        <w:t>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7C25D3" w:rsidRPr="007C25D3" w:rsidRDefault="00762C1A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увеличение количества подготовленных мест безопасного купания и аттестованных пляжей;</w:t>
      </w:r>
    </w:p>
    <w:p w:rsidR="007C25D3" w:rsidRPr="007C25D3" w:rsidRDefault="00762C1A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создание общественных спасательных постов в местах массового отдыха населения;</w:t>
      </w:r>
    </w:p>
    <w:p w:rsidR="007C25D3" w:rsidRPr="007C25D3" w:rsidRDefault="00762C1A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оснащение спасательных постов имуществом и снаряжением.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pStyle w:val="1"/>
        <w:ind w:firstLine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5" w:name="sub_6300"/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3. Показатели (индикаторы) достижения целей и решения задач, основные ожидаемые результаты подпрограммы</w:t>
      </w:r>
    </w:p>
    <w:bookmarkEnd w:id="5"/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62C1A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Показателями (индикаторами) реализации подпрограммы является: </w:t>
      </w:r>
    </w:p>
    <w:p w:rsidR="00762C1A" w:rsidRDefault="00762C1A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 xml:space="preserve">обустройство мест безопасного купания и аттестованных пляжей; </w:t>
      </w:r>
    </w:p>
    <w:p w:rsidR="007C25D3" w:rsidRPr="007C25D3" w:rsidRDefault="00762C1A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оснащение спасательных постов имуществом и снаряжением.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pStyle w:val="1"/>
        <w:ind w:firstLine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6" w:name="sub_6400"/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4. Обобщенная характеристика мероприятий подпрограммы</w:t>
      </w:r>
    </w:p>
    <w:bookmarkEnd w:id="6"/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Основные мероприятия подпрограммы направлены на достижение ее цели и на решение наиболее важных текущих и перспективных задач в сфере профилактики и предупреждения несчастных случаев на воде.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pStyle w:val="1"/>
        <w:ind w:firstLine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Источником финансирования подпрограммы являются средства бюджета </w:t>
      </w:r>
      <w:r w:rsidR="00762C1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C25D3">
        <w:rPr>
          <w:rFonts w:ascii="Times New Roman" w:hAnsi="Times New Roman" w:cs="Times New Roman"/>
          <w:sz w:val="28"/>
          <w:szCs w:val="28"/>
        </w:rPr>
        <w:t>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- </w:t>
      </w:r>
      <w:r w:rsidR="00003318">
        <w:rPr>
          <w:rFonts w:ascii="Times New Roman" w:hAnsi="Times New Roman" w:cs="Times New Roman"/>
          <w:sz w:val="28"/>
          <w:szCs w:val="28"/>
        </w:rPr>
        <w:t>2205,0</w:t>
      </w:r>
      <w:r w:rsidRPr="007C25D3">
        <w:rPr>
          <w:rFonts w:ascii="Times New Roman" w:hAnsi="Times New Roman" w:cs="Times New Roman"/>
          <w:sz w:val="28"/>
          <w:szCs w:val="28"/>
        </w:rPr>
        <w:t xml:space="preserve"> тыс. рублей, в том числе: за счет средств бюджета </w:t>
      </w:r>
      <w:r w:rsidR="00762C1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C25D3">
        <w:rPr>
          <w:rFonts w:ascii="Times New Roman" w:hAnsi="Times New Roman" w:cs="Times New Roman"/>
          <w:sz w:val="28"/>
          <w:szCs w:val="28"/>
        </w:rPr>
        <w:t xml:space="preserve"> - </w:t>
      </w:r>
      <w:r w:rsidR="00003318">
        <w:rPr>
          <w:rFonts w:ascii="Times New Roman" w:hAnsi="Times New Roman" w:cs="Times New Roman"/>
          <w:sz w:val="28"/>
          <w:szCs w:val="28"/>
        </w:rPr>
        <w:t>2205,0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 в том числе по годам: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2027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2028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2029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2030 год - </w:t>
      </w:r>
      <w:r w:rsidR="00003318">
        <w:rPr>
          <w:rFonts w:ascii="Times New Roman" w:hAnsi="Times New Roman" w:cs="Times New Roman"/>
          <w:sz w:val="28"/>
          <w:szCs w:val="28"/>
        </w:rPr>
        <w:t>31</w:t>
      </w:r>
      <w:r w:rsidR="00003318" w:rsidRPr="007C25D3">
        <w:rPr>
          <w:rFonts w:ascii="Times New Roman" w:hAnsi="Times New Roman" w:cs="Times New Roman"/>
          <w:sz w:val="28"/>
          <w:szCs w:val="28"/>
        </w:rPr>
        <w:t>5</w:t>
      </w:r>
      <w:r w:rsidR="00003318">
        <w:rPr>
          <w:rFonts w:ascii="Times New Roman" w:hAnsi="Times New Roman" w:cs="Times New Roman"/>
          <w:sz w:val="28"/>
          <w:szCs w:val="28"/>
        </w:rPr>
        <w:t>,0</w:t>
      </w:r>
      <w:r w:rsidR="00003318" w:rsidRPr="007C25D3">
        <w:rPr>
          <w:rFonts w:ascii="Times New Roman" w:hAnsi="Times New Roman" w:cs="Times New Roman"/>
          <w:sz w:val="28"/>
          <w:szCs w:val="28"/>
        </w:rPr>
        <w:t> </w:t>
      </w:r>
      <w:r w:rsidRPr="007C25D3"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762C1A" w:rsidRDefault="00762C1A" w:rsidP="00762C1A">
      <w:pPr>
        <w:pStyle w:val="1"/>
        <w:ind w:firstLine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7" w:name="sub_6600"/>
    </w:p>
    <w:p w:rsidR="007C25D3" w:rsidRPr="007C25D3" w:rsidRDefault="007C25D3" w:rsidP="00762C1A">
      <w:pPr>
        <w:pStyle w:val="1"/>
        <w:ind w:firstLine="567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C25D3">
        <w:rPr>
          <w:rFonts w:ascii="Times New Roman" w:eastAsiaTheme="minorEastAsia" w:hAnsi="Times New Roman" w:cs="Times New Roman"/>
          <w:color w:val="auto"/>
          <w:sz w:val="28"/>
          <w:szCs w:val="28"/>
        </w:rPr>
        <w:t>6. Механизм реализации Подпрограммы</w:t>
      </w:r>
    </w:p>
    <w:bookmarkEnd w:id="7"/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базируется на принципах </w:t>
      </w:r>
      <w:r w:rsidRPr="007C25D3">
        <w:rPr>
          <w:rFonts w:ascii="Times New Roman" w:hAnsi="Times New Roman" w:cs="Times New Roman"/>
          <w:sz w:val="28"/>
          <w:szCs w:val="28"/>
        </w:rPr>
        <w:lastRenderedPageBreak/>
        <w:t xml:space="preserve">партнерства федеральных органов исполнительной власти, органов исполнительной власти области, </w:t>
      </w:r>
      <w:r w:rsidR="00762C1A">
        <w:rPr>
          <w:rFonts w:ascii="Times New Roman" w:hAnsi="Times New Roman" w:cs="Times New Roman"/>
          <w:sz w:val="28"/>
          <w:szCs w:val="28"/>
        </w:rPr>
        <w:t>муниципальных органов власти</w:t>
      </w:r>
      <w:r w:rsidRPr="007C25D3">
        <w:rPr>
          <w:rFonts w:ascii="Times New Roman" w:hAnsi="Times New Roman" w:cs="Times New Roman"/>
          <w:sz w:val="28"/>
          <w:szCs w:val="28"/>
        </w:rPr>
        <w:t xml:space="preserve"> и организаций, в том числе общественных, а также четкого разграничения полномочий и ответственности всех исполнителей подпрограммы в рамках согласованных обязательств и полномочий.</w:t>
      </w:r>
    </w:p>
    <w:p w:rsidR="00762C1A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 xml:space="preserve">Отбор исполнителей, выполняющих (оказывающих) отдельные работы (услуги) в рамках подпрограммы, производится на конкурсной основе в соответствии с федеральным законодательством. 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Исполнители подпрограммы, ответственные за выполнение мероприятий,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В ходе реализации подпрограммы ответственный исполнитель подпрограммы: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организует реализацию мероприятий подпрограммы, обеспечивает целевое и эффективное использование выделяемых на реализацию средств;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несет ответственность за своевременную и качественную реализацию мероприятий подпрограммы;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проводит анализ, формирует предложения по рациональному использованию финансовых ресурсов подпрограммы;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готовит в установленном порядке предложения по уточнению перечня мероприятий подпрограммы на очередной финансовый год;</w:t>
      </w:r>
    </w:p>
    <w:p w:rsidR="007C25D3" w:rsidRPr="007C25D3" w:rsidRDefault="000C17E7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25D3" w:rsidRPr="007C25D3">
        <w:rPr>
          <w:rFonts w:ascii="Times New Roman" w:hAnsi="Times New Roman" w:cs="Times New Roman"/>
          <w:sz w:val="28"/>
          <w:szCs w:val="28"/>
        </w:rPr>
        <w:t>уточняет механизм реализации подпрограммы и затраты по ее мероприятиям.</w:t>
      </w:r>
    </w:p>
    <w:p w:rsidR="007C25D3" w:rsidRPr="007C25D3" w:rsidRDefault="007C25D3" w:rsidP="00762C1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C25D3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 осуществляет работу по реализации подпрограммы, внесению в нее изменений, ведение полугодовой, годовой и итоговой отчетности.</w:t>
      </w:r>
    </w:p>
    <w:p w:rsidR="007C25D3" w:rsidRPr="007C25D3" w:rsidRDefault="007C25D3" w:rsidP="007C25D3">
      <w:pPr>
        <w:rPr>
          <w:rFonts w:ascii="Times New Roman" w:hAnsi="Times New Roman" w:cs="Times New Roman"/>
          <w:sz w:val="28"/>
          <w:szCs w:val="28"/>
        </w:rPr>
      </w:pPr>
    </w:p>
    <w:p w:rsidR="003A20D1" w:rsidRPr="007C25D3" w:rsidRDefault="003A20D1">
      <w:pPr>
        <w:rPr>
          <w:rFonts w:ascii="Times New Roman" w:hAnsi="Times New Roman" w:cs="Times New Roman"/>
          <w:sz w:val="28"/>
          <w:szCs w:val="28"/>
        </w:rPr>
      </w:pPr>
    </w:p>
    <w:sectPr w:rsidR="003A20D1" w:rsidRPr="007C25D3" w:rsidSect="007C25D3">
      <w:headerReference w:type="default" r:id="rId7"/>
      <w:pgSz w:w="11906" w:h="16838"/>
      <w:pgMar w:top="90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74" w:rsidRDefault="00BB2674" w:rsidP="007C25D3">
      <w:r>
        <w:separator/>
      </w:r>
    </w:p>
  </w:endnote>
  <w:endnote w:type="continuationSeparator" w:id="0">
    <w:p w:rsidR="00BB2674" w:rsidRDefault="00BB2674" w:rsidP="007C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74" w:rsidRDefault="00BB2674" w:rsidP="007C25D3">
      <w:r>
        <w:separator/>
      </w:r>
    </w:p>
  </w:footnote>
  <w:footnote w:type="continuationSeparator" w:id="0">
    <w:p w:rsidR="00BB2674" w:rsidRDefault="00BB2674" w:rsidP="007C2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921272"/>
      <w:docPartObj>
        <w:docPartGallery w:val="Page Numbers (Top of Page)"/>
        <w:docPartUnique/>
      </w:docPartObj>
    </w:sdtPr>
    <w:sdtEndPr/>
    <w:sdtContent>
      <w:p w:rsidR="007C25D3" w:rsidRDefault="007C25D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02F">
          <w:rPr>
            <w:noProof/>
          </w:rPr>
          <w:t>2</w:t>
        </w:r>
        <w:r>
          <w:fldChar w:fldCharType="end"/>
        </w:r>
      </w:p>
    </w:sdtContent>
  </w:sdt>
  <w:p w:rsidR="007C25D3" w:rsidRDefault="007C25D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45"/>
    <w:rsid w:val="00003318"/>
    <w:rsid w:val="000C17E7"/>
    <w:rsid w:val="001B0145"/>
    <w:rsid w:val="00222AA1"/>
    <w:rsid w:val="003A20D1"/>
    <w:rsid w:val="00551CBB"/>
    <w:rsid w:val="00682A81"/>
    <w:rsid w:val="00762C1A"/>
    <w:rsid w:val="007C25D3"/>
    <w:rsid w:val="008B341C"/>
    <w:rsid w:val="00B16A59"/>
    <w:rsid w:val="00BB2674"/>
    <w:rsid w:val="00CD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5D3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5D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7C25D3"/>
    <w:pPr>
      <w:spacing w:before="75"/>
      <w:ind w:left="170" w:firstLine="0"/>
    </w:pPr>
    <w:rPr>
      <w:color w:val="353842"/>
    </w:rPr>
  </w:style>
  <w:style w:type="paragraph" w:customStyle="1" w:styleId="a4">
    <w:name w:val="Информация о версии"/>
    <w:basedOn w:val="a3"/>
    <w:next w:val="a"/>
    <w:uiPriority w:val="99"/>
    <w:rsid w:val="007C25D3"/>
    <w:rPr>
      <w:i/>
      <w:iCs/>
    </w:rPr>
  </w:style>
  <w:style w:type="paragraph" w:customStyle="1" w:styleId="a5">
    <w:name w:val="Информация об изменениях"/>
    <w:basedOn w:val="a"/>
    <w:next w:val="a"/>
    <w:uiPriority w:val="99"/>
    <w:rsid w:val="007C25D3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7C25D3"/>
    <w:pPr>
      <w:ind w:firstLine="0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7C25D3"/>
    <w:rPr>
      <w:b/>
      <w:bCs/>
      <w:color w:val="353842"/>
      <w:sz w:val="20"/>
      <w:szCs w:val="20"/>
    </w:rPr>
  </w:style>
  <w:style w:type="character" w:customStyle="1" w:styleId="a8">
    <w:name w:val="Гипертекстовая ссылка"/>
    <w:basedOn w:val="a0"/>
    <w:uiPriority w:val="99"/>
    <w:rsid w:val="007C25D3"/>
    <w:rPr>
      <w:color w:val="106BBE"/>
    </w:rPr>
  </w:style>
  <w:style w:type="table" w:styleId="a9">
    <w:name w:val="Table Grid"/>
    <w:basedOn w:val="a1"/>
    <w:uiPriority w:val="59"/>
    <w:rsid w:val="007C2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7C25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25D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C25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25D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5D3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5D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7C25D3"/>
    <w:pPr>
      <w:spacing w:before="75"/>
      <w:ind w:left="170" w:firstLine="0"/>
    </w:pPr>
    <w:rPr>
      <w:color w:val="353842"/>
    </w:rPr>
  </w:style>
  <w:style w:type="paragraph" w:customStyle="1" w:styleId="a4">
    <w:name w:val="Информация о версии"/>
    <w:basedOn w:val="a3"/>
    <w:next w:val="a"/>
    <w:uiPriority w:val="99"/>
    <w:rsid w:val="007C25D3"/>
    <w:rPr>
      <w:i/>
      <w:iCs/>
    </w:rPr>
  </w:style>
  <w:style w:type="paragraph" w:customStyle="1" w:styleId="a5">
    <w:name w:val="Информация об изменениях"/>
    <w:basedOn w:val="a"/>
    <w:next w:val="a"/>
    <w:uiPriority w:val="99"/>
    <w:rsid w:val="007C25D3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7C25D3"/>
    <w:pPr>
      <w:ind w:firstLine="0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7C25D3"/>
    <w:rPr>
      <w:b/>
      <w:bCs/>
      <w:color w:val="353842"/>
      <w:sz w:val="20"/>
      <w:szCs w:val="20"/>
    </w:rPr>
  </w:style>
  <w:style w:type="character" w:customStyle="1" w:styleId="a8">
    <w:name w:val="Гипертекстовая ссылка"/>
    <w:basedOn w:val="a0"/>
    <w:uiPriority w:val="99"/>
    <w:rsid w:val="007C25D3"/>
    <w:rPr>
      <w:color w:val="106BBE"/>
    </w:rPr>
  </w:style>
  <w:style w:type="table" w:styleId="a9">
    <w:name w:val="Table Grid"/>
    <w:basedOn w:val="a1"/>
    <w:uiPriority w:val="59"/>
    <w:rsid w:val="007C2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7C25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25D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C25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25D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2024-01-12T08:14:00Z</cp:lastPrinted>
  <dcterms:created xsi:type="dcterms:W3CDTF">2023-09-28T13:12:00Z</dcterms:created>
  <dcterms:modified xsi:type="dcterms:W3CDTF">2024-01-12T08:15:00Z</dcterms:modified>
</cp:coreProperties>
</file>