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tLeast" w:line="100" w:before="0" w:after="0"/>
        <w:ind w:left="0" w:right="0" w:firstLine="720"/>
        <w:jc w:val="center"/>
        <w:rPr/>
      </w:pPr>
      <w:r>
        <w:rPr>
          <w:rFonts w:eastAsia="Times New Roman" w:cs="Times New Roman" w:ascii="PT Astra Serif" w:hAnsi="PT Astra Serif"/>
          <w:sz w:val="28"/>
          <w:szCs w:val="20"/>
          <w:lang w:eastAsia="ru-RU"/>
        </w:rPr>
        <w:t>УВЕДОМЛЕНИЕ</w:t>
      </w:r>
    </w:p>
    <w:p>
      <w:pPr>
        <w:pStyle w:val="Normal"/>
        <w:bidi w:val="0"/>
        <w:spacing w:lineRule="atLeast" w:line="100" w:before="0" w:after="0"/>
        <w:ind w:left="0" w:right="0" w:firstLine="720"/>
        <w:jc w:val="center"/>
        <w:rPr/>
      </w:pPr>
      <w:r>
        <w:rPr>
          <w:rFonts w:eastAsia="Times New Roman" w:cs="Times New Roman" w:ascii="PT Astra Serif" w:hAnsi="PT Astra Serif"/>
          <w:sz w:val="28"/>
          <w:szCs w:val="20"/>
          <w:lang w:eastAsia="ru-RU"/>
        </w:rPr>
        <w:t>о проведении общественных обсуждений предварительных материалов объекта государственной экологической экспертизы, включая предварительные материалы оценки воздействия на окружающую среду</w:t>
      </w:r>
    </w:p>
    <w:p>
      <w:pPr>
        <w:pStyle w:val="Normal"/>
        <w:bidi w:val="0"/>
        <w:spacing w:lineRule="atLeast" w:line="100" w:before="0" w:after="0"/>
        <w:ind w:left="0" w:right="0" w:firstLine="72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708"/>
        <w:jc w:val="both"/>
        <w:rPr/>
      </w:pPr>
      <w:r>
        <w:rPr>
          <w:rFonts w:eastAsia="Times New Roman" w:cs="Times New Roman" w:ascii="PT Astra Serif" w:hAnsi="PT Astra Serif"/>
          <w:sz w:val="28"/>
          <w:szCs w:val="20"/>
          <w:lang w:eastAsia="ru-RU"/>
        </w:rPr>
        <w:t xml:space="preserve">В соответствии со статьей 14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Федерального закона от 23.11.1995 № 174-ФЗ «Об экологической экспертизе», статьей 20 Федерального закона от 24.04.1995             № 52-ФЗ «О животном мире», постановлением Правительства Российской Федерации от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28.05.2024 № 694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«</w:t>
      </w:r>
      <w:r>
        <w:rPr>
          <w:rFonts w:cs="Times New Roman" w:ascii="PT Astra Serif" w:hAnsi="PT Astra Serif"/>
          <w:sz w:val="28"/>
          <w:szCs w:val="28"/>
        </w:rPr>
        <w:t>Об утверждении Положения о проведении государственной экологической экспертизы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>п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>остановление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>м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 xml:space="preserve"> Правительства Р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 xml:space="preserve">оссийской 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>Ф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>едерации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 xml:space="preserve"> от 28.11.2024 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>№</w:t>
      </w:r>
      <w:r>
        <w:rPr>
          <w:rFonts w:eastAsia="Times New Roman" w:cs="Times New Roman" w:ascii="PT Astra Serif" w:hAnsi="PT Astra Serif"/>
          <w:b w:val="false"/>
          <w:sz w:val="28"/>
          <w:szCs w:val="28"/>
          <w:lang w:eastAsia="ru-RU"/>
        </w:rPr>
        <w:t xml:space="preserve"> 1644 «О порядке проведения оценки воздействия на окружающую среду»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, приказом Мин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истерства природных ресурсов и экологии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 xml:space="preserve"> Росси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йской Федерации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 xml:space="preserve">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и составу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Министерство экологии и природных ресурсов Тамбовской области (далее – Министерство) совместно с органами местного самоуправления Тамбовской области уведомляет всех заинтересованных лиц (граждан, общественные организации/объединения, представителей органов государственной власти, органов местного самоуправления) о проведении общественных обсуждений материалов по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объекту государственной экологической экспертизы: </w:t>
      </w:r>
      <w:r>
        <w:rPr>
          <w:rFonts w:cs="Times New Roman" w:ascii="PT Astra Serif" w:hAnsi="PT Astra Serif"/>
          <w:color w:val="000000"/>
          <w:sz w:val="28"/>
          <w:szCs w:val="28"/>
        </w:rPr>
        <w:t>«Материалы, обосновывающие объемы (лимиты, квоты) изъятия охотничьих ресурсов на территории Тамбовской области на период с 1 августа 202</w:t>
      </w:r>
      <w:r>
        <w:rPr>
          <w:rFonts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года </w:t>
      </w:r>
      <w:r>
        <w:rPr>
          <w:rFonts w:cs="Times New Roman" w:ascii="PT Astra Serif" w:hAnsi="PT Astra Serif"/>
          <w:color w:val="000000"/>
          <w:sz w:val="28"/>
          <w:szCs w:val="28"/>
        </w:rPr>
        <w:t>по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1 августа 202</w:t>
      </w:r>
      <w:r>
        <w:rPr>
          <w:rFonts w:cs="Times New Roman" w:ascii="PT Astra Serif" w:hAnsi="PT Astra Serif"/>
          <w:color w:val="000000"/>
          <w:sz w:val="28"/>
          <w:szCs w:val="28"/>
          <w:lang w:val="en-US"/>
        </w:rPr>
        <w:t>6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года» (включающие предварительные материалы оценки воздействия на окружающую среду)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».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Заказчик (он же исполнитель) работ по оценке воздействия на окружающую среду): Министерство экологии и природных ресурсов  Тамбовской области, ОГРН 1046882297538, ИНН 6829005876, 392036, г. Тамбов, ул. Базарная, д. 104 (электронный адрес </w:t>
      </w:r>
      <w:hyperlink r:id="rId2">
        <w:r>
          <w:rPr>
            <w:rStyle w:val="-"/>
            <w:rFonts w:eastAsia="Times New Roman" w:cs="Times New Roman" w:ascii="PT Astra Serif" w:hAnsi="PT Astra Serif"/>
            <w:color w:val="000000"/>
            <w:sz w:val="28"/>
            <w:szCs w:val="28"/>
            <w:lang w:val="en-US"/>
          </w:rPr>
          <w:t>post@opr.tambov.gov.ru</w:t>
        </w:r>
      </w:hyperlink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)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Ответственными за проведение общественных обсуждений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являются администрации муниципальных образований - муниципальных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округов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Тамбовской области согласно прилагаем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  <w:lang w:eastAsia="ru-RU"/>
        </w:rPr>
        <w:t xml:space="preserve">ому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спис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  <w:lang w:eastAsia="ru-RU"/>
        </w:rPr>
        <w:t>ку.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Наименование планируемой (намечаемой) хозяйственной и иной деятельности: изъятие охотничьих ресурсов на территории Тамбовской области на период с 1 августа 202</w:t>
      </w:r>
      <w:r>
        <w:rPr>
          <w:rFonts w:eastAsia="Calibri"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года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по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1 августа 202</w:t>
      </w:r>
      <w:r>
        <w:rPr>
          <w:rFonts w:eastAsia="Calibri" w:cs="Times New Roman" w:ascii="PT Astra Serif" w:hAnsi="PT Astra Serif"/>
          <w:color w:val="000000"/>
          <w:sz w:val="28"/>
          <w:szCs w:val="28"/>
          <w:lang w:val="en-US"/>
        </w:rPr>
        <w:t>6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года, при этом объектом экспертизы являются «Материалы, обосновывающие объемы (лимиты, квоты) изъятия охотничьих ресурсов на территории Тамбовской области на период с 1 августа 202</w:t>
      </w:r>
      <w:r>
        <w:rPr>
          <w:rFonts w:eastAsia="Calibri"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года 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по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1 августа 202</w:t>
      </w:r>
      <w:r>
        <w:rPr>
          <w:rFonts w:eastAsia="Calibri" w:cs="Times New Roman" w:ascii="PT Astra Serif" w:hAnsi="PT Astra Serif"/>
          <w:color w:val="000000"/>
          <w:sz w:val="28"/>
          <w:szCs w:val="28"/>
          <w:lang w:val="en-US"/>
        </w:rPr>
        <w:t>6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года»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 включая предварительные материалы оценки воздействия на окружающую среду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Цель планируемой (намечаемой) хозяйственной и иной деятельности: рациональное (устойчивое, неистощительное) использование охотничьих ресурсов на территории Тамбовской области (за исключением особо охраняемых природных территорий федерального значения)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  <w:lang w:eastAsia="ru-RU"/>
        </w:rPr>
        <w:t xml:space="preserve"> л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ицами, являющимися охотпользователями; сохранение биологического разнообразия.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Предварительное место реализации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планируемой (намечаемой) хозяйственной и иной деятельности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>: закрепленные и общедоступные охотничьи угодья Тамбовской области, а также иные территории, являющиеся средой обитания охотничьих ресурсов, но не являющиеся охотничьими угодьями, за исключением особо охраняемых природных территорий федерального значения, Тамбовской области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Примерные сроки проведения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оценки воздействия на окружающую среду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>: 2 квартал 202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 года (с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.04.202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 по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.05.202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>).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>Место и сроки доступности объекта общественного обсуждения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: 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Calibri" w:cs="Times New Roman" w:ascii="PT Astra Serif" w:hAnsi="PT Astra Serif"/>
          <w:color w:val="000000"/>
          <w:sz w:val="28"/>
          <w:szCs w:val="28"/>
        </w:rPr>
        <w:t>с документацией по объекту государственной экологической экспертизы «Материалы, обосновывающие объемы (лимиты, квоты) изъятия охотничьих ресурсов на территории Тамбовской области на период с 1 августа 202</w:t>
      </w:r>
      <w:r>
        <w:rPr>
          <w:rFonts w:eastAsia="Calibri"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года</w:t>
        <w:br/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>по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1 августа 202</w:t>
      </w:r>
      <w:r>
        <w:rPr>
          <w:rFonts w:eastAsia="Calibri"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года»,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 включая предварительные материалы оценки воздействия на окруж</w:t>
      </w:r>
      <w:bookmarkStart w:id="0" w:name="_GoBack"/>
      <w:bookmarkEnd w:id="0"/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ающую среду, можно ознакомиться с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val="en-US" w:eastAsia="ru-RU"/>
        </w:rPr>
        <w:t>5</w:t>
      </w:r>
      <w:r>
        <w:rPr>
          <w:rFonts w:cs="Times New Roman" w:ascii="PT Astra Serif" w:hAnsi="PT Astra Serif"/>
          <w:color w:val="000000"/>
          <w:sz w:val="28"/>
          <w:szCs w:val="28"/>
          <w:lang w:val="en-US"/>
        </w:rPr>
        <w:t>.04.202</w:t>
      </w:r>
      <w:r>
        <w:rPr>
          <w:rFonts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по </w:t>
      </w:r>
      <w:r>
        <w:rPr>
          <w:rFonts w:cs="Times New Roman" w:ascii="PT Astra Serif" w:hAnsi="PT Astra Serif"/>
          <w:color w:val="000000"/>
          <w:sz w:val="28"/>
          <w:szCs w:val="28"/>
          <w:lang w:val="en-US"/>
        </w:rPr>
        <w:t>2</w:t>
      </w:r>
      <w:r>
        <w:rPr>
          <w:rFonts w:cs="Times New Roman" w:ascii="PT Astra Serif" w:hAnsi="PT Astra Serif"/>
          <w:color w:val="000000"/>
          <w:sz w:val="28"/>
          <w:szCs w:val="28"/>
          <w:lang w:val="en-US"/>
        </w:rPr>
        <w:t>5</w:t>
      </w:r>
      <w:r>
        <w:rPr>
          <w:rFonts w:cs="Times New Roman"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cs="Times New Roman" w:ascii="PT Astra Serif" w:hAnsi="PT Astra Serif"/>
          <w:color w:val="000000"/>
          <w:sz w:val="28"/>
          <w:szCs w:val="28"/>
        </w:rPr>
        <w:t>5.202</w:t>
      </w:r>
      <w:r>
        <w:rPr>
          <w:rFonts w:cs="Times New Roman" w:ascii="PT Astra Serif" w:hAnsi="PT Astra Serif"/>
          <w:color w:val="000000"/>
          <w:sz w:val="28"/>
          <w:szCs w:val="28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 включительно в рабочие дни с 08-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>3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>0 до 12-00 и с 12-45 до 17-00 часов</w:t>
      </w:r>
      <w:r>
        <w:rPr>
          <w:rFonts w:eastAsia="Calibri" w:cs="Times New Roman" w:ascii="PT Astra Serif" w:hAnsi="PT Astra Serif"/>
          <w:color w:val="000000"/>
          <w:sz w:val="28"/>
          <w:szCs w:val="28"/>
        </w:rPr>
        <w:t xml:space="preserve"> по адресу: Тамбовская область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, г. Тамбов, ул. </w:t>
      </w:r>
      <w:r>
        <w:rPr>
          <w:rFonts w:cs="Times New Roman" w:ascii="PT Astra Serif" w:hAnsi="PT Astra Serif"/>
          <w:color w:val="000000"/>
          <w:sz w:val="28"/>
          <w:szCs w:val="28"/>
        </w:rPr>
        <w:t>Базарная, 104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, 4 этаж (Отдел охраны, воспроизводства и использования объектов животного мира и среды их обитания управления по охране, контролю и регулированию использования объектов животного мира министерства экологии и природных ресурсов Тамбовской области);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на официальном сайте управления по охране, контролю и регулированию использования объектов животного мира Министерства в разделе «Объявления и анонсы»: https://zoo.tmbreg.ru, а также на официальных сайтах органов местного самоуправления, ответственных за организацию общественного обсуждения (указанных выше администраций муниципальных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округов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Тамбовской области).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Замечания, комментарии и предложения по материалам, обосновывающим лимит, квоты изъятия охотничьих ресурсов принимаются в администрациях муниципальных образований - муниципальных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округов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Тамбовской области и в управлении по охране, контролю и регулированию использования объектов животного мир министерства экологии и природных ресурсов Тамбовской области (электронный адрес </w:t>
      </w:r>
      <w:hyperlink r:id="rId3">
        <w:r>
          <w:rPr>
            <w:rStyle w:val="-"/>
            <w:rFonts w:eastAsia="Times New Roman" w:cs="Times New Roman" w:ascii="PT Astra Serif" w:hAnsi="PT Astra Serif"/>
            <w:color w:val="000000"/>
            <w:sz w:val="28"/>
            <w:szCs w:val="28"/>
            <w:lang w:val="en-US"/>
          </w:rPr>
          <w:t>post</w:t>
        </w:r>
      </w:hyperlink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</w:rPr>
        <w:t>@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  <w:lang w:val="en-US"/>
        </w:rPr>
        <w:t>opr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</w:rPr>
        <w:t>.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  <w:lang w:val="en-US"/>
        </w:rPr>
        <w:t>tambov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</w:rPr>
        <w:t>.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  <w:lang w:val="en-US"/>
        </w:rPr>
        <w:t>gov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</w:rPr>
        <w:t>.</w:t>
      </w:r>
      <w:r>
        <w:rPr>
          <w:rStyle w:val="-"/>
          <w:rFonts w:eastAsia="Times New Roman" w:cs="Times New Roman" w:ascii="PT Astra Serif" w:hAnsi="PT Astra Serif"/>
          <w:color w:val="000000"/>
          <w:sz w:val="28"/>
          <w:szCs w:val="28"/>
          <w:lang w:val="en-US"/>
        </w:rPr>
        <w:t>ru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; почтовый адрес: г. Тамбов, ул. Базарная, д. 104) по 2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мая 202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en-US" w:eastAsia="ru-RU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года. </w:t>
      </w:r>
    </w:p>
    <w:p>
      <w:pPr>
        <w:pStyle w:val="Normal"/>
        <w:tabs>
          <w:tab w:val="clear" w:pos="708"/>
        </w:tabs>
        <w:spacing w:lineRule="atLeast" w:line="100" w:before="0" w:after="0"/>
        <w:ind w:left="0" w:right="0" w:firstLine="720"/>
        <w:jc w:val="both"/>
        <w:rPr/>
      </w:pPr>
      <w:r>
        <w:rPr>
          <w:rStyle w:val="Style14"/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Информируем о </w:t>
      </w:r>
      <w:r>
        <w:rPr>
          <w:rStyle w:val="Style14"/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возможности </w:t>
      </w:r>
      <w:r>
        <w:rPr>
          <w:rStyle w:val="Style14"/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инициирования гражданами проведения слушаний </w:t>
      </w:r>
      <w:r>
        <w:rPr>
          <w:rStyle w:val="Style14"/>
          <w:rFonts w:eastAsia="Times New Roman" w:cs="Times New Roman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по </w:t>
      </w:r>
      <w:r>
        <w:rPr>
          <w:rStyle w:val="Style14"/>
          <w:rFonts w:eastAsia="Calibri" w:cs="Times New Roman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объекту государственной экологической экспертизы.</w:t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bookmarkStart w:id="1" w:name="__DdeLink__3846_1012307328"/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Контактные данные ответственного лица со стороны заказчика (исполнителя): </w:t>
      </w:r>
      <w:r>
        <w:rPr>
          <w:rStyle w:val="Style14"/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 w:eastAsia="ru-RU"/>
        </w:rPr>
        <w:t>з</w:t>
      </w:r>
      <w:r>
        <w:rPr>
          <w:rStyle w:val="Style14"/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 w:eastAsia="ru-RU"/>
        </w:rPr>
        <w:t>аместитель начальника управления по охране, контролю и регулированию использования объектов животного мира - начальник отдела охраны, воспроизводства и использования объектов животного мира и среды их обитания</w:t>
      </w:r>
      <w:r>
        <w:rPr>
          <w:rStyle w:val="Style14"/>
          <w:rFonts w:eastAsia="Calibri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 w:eastAsia="ru-RU"/>
        </w:rPr>
        <w:t xml:space="preserve"> министерства экологии и природных ресурсов Тамбовской области</w:t>
      </w:r>
      <w:r>
        <w:rPr>
          <w:rFonts w:eastAsia="Calibri" w:cs="Times New Roman" w:ascii="PT Astra Serif" w:hAnsi="PT Astra Serif"/>
          <w:color w:val="000000"/>
          <w:sz w:val="28"/>
          <w:szCs w:val="28"/>
          <w:shd w:fill="FFFFFF" w:val="clear"/>
          <w:lang w:eastAsia="ru-RU"/>
        </w:rPr>
        <w:t xml:space="preserve"> -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ru-RU"/>
        </w:rPr>
        <w:t xml:space="preserve"> Соколов Алексей Геннадьевич, тел.</w:t>
      </w:r>
      <w:r>
        <w:rPr>
          <w:rFonts w:eastAsia="Calibri" w:cs="Times New Roman" w:ascii="PT Astra Serif" w:hAnsi="PT Astra Serif"/>
          <w:color w:val="000000"/>
          <w:sz w:val="28"/>
          <w:szCs w:val="28"/>
          <w:shd w:fill="FFFFFF" w:val="clear"/>
        </w:rPr>
        <w:t xml:space="preserve">: +7-4752-79-25-90;  заместитель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shd w:fill="FFFFFF" w:val="clear"/>
          <w:lang w:eastAsia="ru-RU"/>
        </w:rPr>
        <w:t xml:space="preserve">начальника </w:t>
      </w:r>
      <w:r>
        <w:rPr>
          <w:rFonts w:eastAsia="Calibri" w:cs="Times New Roman" w:ascii="PT Astra Serif" w:hAnsi="PT Astra Serif"/>
          <w:color w:val="000000"/>
          <w:sz w:val="28"/>
          <w:szCs w:val="28"/>
          <w:shd w:fill="FFFFFF" w:val="clear"/>
          <w:lang w:eastAsia="ru-RU"/>
        </w:rPr>
        <w:t xml:space="preserve">отдела охраны, воспроизводства и использования объектов животного мира и среды их обитания управления по охране, контролю и регулированию использования объектов животного мира министерства экологии и природных ресурсов Тамбовской области - 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shd w:fill="FFFFFF" w:val="clear"/>
          <w:lang w:eastAsia="ru-RU"/>
        </w:rPr>
        <w:t xml:space="preserve"> Кувардина Ольга Александровна, тел.</w:t>
      </w:r>
      <w:bookmarkEnd w:id="1"/>
      <w:r>
        <w:rPr>
          <w:rFonts w:eastAsia="Calibri" w:cs="Times New Roman" w:ascii="PT Astra Serif" w:hAnsi="PT Astra Serif"/>
          <w:color w:val="000000"/>
          <w:sz w:val="28"/>
          <w:szCs w:val="28"/>
          <w:shd w:fill="FFFFFF" w:val="clear"/>
        </w:rPr>
        <w:t>: +7-4752-79-25-89.</w:t>
      </w:r>
    </w:p>
    <w:sectPr>
      <w:type w:val="nextPage"/>
      <w:pgSz w:w="11906" w:h="16838"/>
      <w:pgMar w:left="1134" w:right="991" w:gutter="0" w:header="0" w:top="1134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01"/>
    <w:family w:val="roman"/>
    <w:pitch w:val="variable"/>
  </w:font>
  <w:font w:name="PT Astra Serif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uto" w:line="252" w:before="0" w:after="160"/>
      <w:jc w:val="left"/>
    </w:pPr>
    <w:rPr>
      <w:rFonts w:ascii="Calibri" w:hAnsi="Calibri" w:eastAsia="SimSun" w:cs="Lohit Devanagari"/>
      <w:color w:val="00000A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-">
    <w:name w:val="Hyperlink"/>
    <w:basedOn w:val="DefaultParagraphFont"/>
    <w:rPr>
      <w:color w:val="0563C1"/>
      <w:u w:val="single"/>
      <w:lang w:val="ru-RU" w:eastAsia="ru-RU" w:bidi="ru-RU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21"/>
    <w:qFormat/>
    <w:pPr>
      <w:keepNext w:val="true"/>
      <w:spacing w:before="240" w:after="120"/>
      <w:jc w:val="center"/>
    </w:pPr>
    <w:rPr>
      <w:rFonts w:ascii="Arial" w:hAnsi="Arial" w:eastAsia="Microsoft YaHei" w:cs="Mangal"/>
      <w:b/>
      <w:bCs/>
      <w:sz w:val="28"/>
      <w:szCs w:val="28"/>
    </w:rPr>
  </w:style>
  <w:style w:type="paragraph" w:styleId="Style21">
    <w:name w:val="Subtitle"/>
    <w:basedOn w:val="Style15"/>
    <w:next w:val="Style16"/>
    <w:qFormat/>
    <w:pPr>
      <w:jc w:val="center"/>
    </w:pPr>
    <w:rPr>
      <w:i/>
      <w:i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@zoo.tambov.gov.ru" TargetMode="External"/><Relationship Id="rId3" Type="http://schemas.openxmlformats.org/officeDocument/2006/relationships/hyperlink" Target="mailto:post@zoo.tambov.gov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LibreOffice/7.5.5.2$Windows_X86_64 LibreOffice_project/ca8fe7424262805f223b9a2334bc7181abbcbf5e</Application>
  <AppVersion>15.0000</AppVersion>
  <Pages>2</Pages>
  <Words>681</Words>
  <Characters>5098</Characters>
  <CharactersWithSpaces>5784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2023-04-19T06:26:00Z</dcterms:created>
  <dc:creator>Воропанов Всеволод Юрьевич</dc:creator>
  <dc:description/>
  <dc:language>ru</dc:language>
  <cp:lastModifiedBy/>
  <cp:lastPrinted>2024-04-22T10:49:26Z</cp:lastPrinted>
  <dcterms:modified xsi:type="dcterms:W3CDTF">2025-04-17T11:35:25Z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