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15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5"/>
      </w:tblGrid>
      <w:tr w:rsidR="009728E4" w:rsidRPr="009728E4">
        <w:trPr>
          <w:jc w:val="right"/>
        </w:trPr>
        <w:tc>
          <w:tcPr>
            <w:tcW w:w="361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713" w:rsidRPr="009728E4" w:rsidRDefault="00CA4138">
            <w:pPr>
              <w:pStyle w:val="a6"/>
              <w:spacing w:before="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8E4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366713" w:rsidRPr="00BB7D91" w:rsidRDefault="00CA4138">
            <w:pPr>
              <w:pStyle w:val="a6"/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 w:rsidRPr="00BB7D91">
              <w:rPr>
                <w:rFonts w:ascii="Times New Roman" w:hAnsi="Times New Roman"/>
              </w:rPr>
              <w:t xml:space="preserve">к Порядку </w:t>
            </w:r>
            <w:proofErr w:type="gramStart"/>
            <w:r w:rsidRPr="00BB7D91">
              <w:rPr>
                <w:rFonts w:ascii="Times New Roman" w:hAnsi="Times New Roman"/>
              </w:rPr>
              <w:t>формирования перечня налоговых расходов</w:t>
            </w:r>
            <w:r w:rsidR="004D4A8A" w:rsidRPr="00BB7D91">
              <w:rPr>
                <w:rFonts w:ascii="Times New Roman" w:hAnsi="Times New Roman"/>
              </w:rPr>
              <w:t xml:space="preserve"> Первомайского муниципального округа</w:t>
            </w:r>
            <w:r w:rsidRPr="00BB7D91">
              <w:rPr>
                <w:rFonts w:ascii="Times New Roman" w:hAnsi="Times New Roman"/>
              </w:rPr>
              <w:t xml:space="preserve"> Тамбовской области</w:t>
            </w:r>
            <w:proofErr w:type="gramEnd"/>
            <w:r w:rsidRPr="00BB7D91">
              <w:rPr>
                <w:rFonts w:ascii="Times New Roman" w:hAnsi="Times New Roman"/>
              </w:rPr>
              <w:t xml:space="preserve"> и осуществления оценки налоговых расходов</w:t>
            </w:r>
            <w:r w:rsidR="004D4A8A" w:rsidRPr="00BB7D91">
              <w:rPr>
                <w:rFonts w:ascii="Times New Roman" w:hAnsi="Times New Roman"/>
              </w:rPr>
              <w:t xml:space="preserve"> Первомайского муниципального округа</w:t>
            </w:r>
            <w:r w:rsidRPr="00BB7D91">
              <w:rPr>
                <w:rFonts w:ascii="Times New Roman" w:hAnsi="Times New Roman"/>
              </w:rPr>
              <w:t xml:space="preserve"> Тамбовской области</w:t>
            </w:r>
          </w:p>
        </w:tc>
      </w:tr>
    </w:tbl>
    <w:p w:rsidR="00366713" w:rsidRPr="009728E4" w:rsidRDefault="00366713">
      <w:pPr>
        <w:pStyle w:val="Textbody"/>
        <w:rPr>
          <w:rFonts w:ascii="PT Astra Serif" w:hAnsi="PT Astra Serif" w:hint="eastAsia"/>
          <w:sz w:val="22"/>
          <w:szCs w:val="22"/>
        </w:rPr>
      </w:pPr>
      <w:bookmarkStart w:id="0" w:name="_GoBack"/>
      <w:bookmarkEnd w:id="0"/>
    </w:p>
    <w:tbl>
      <w:tblPr>
        <w:tblW w:w="4649" w:type="dxa"/>
        <w:tblInd w:w="52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</w:tblGrid>
      <w:tr w:rsidR="009728E4" w:rsidRPr="009728E4">
        <w:tc>
          <w:tcPr>
            <w:tcW w:w="4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13" w:rsidRPr="009728E4" w:rsidRDefault="00366713">
            <w:pPr>
              <w:pStyle w:val="a6"/>
              <w:spacing w:before="0" w:after="0" w:line="240" w:lineRule="auto"/>
              <w:jc w:val="center"/>
              <w:rPr>
                <w:rFonts w:ascii="PT Astra Serif" w:hAnsi="PT Astra Serif" w:hint="eastAsia"/>
                <w:sz w:val="22"/>
                <w:szCs w:val="22"/>
              </w:rPr>
            </w:pPr>
          </w:p>
        </w:tc>
      </w:tr>
    </w:tbl>
    <w:p w:rsidR="00366713" w:rsidRPr="009728E4" w:rsidRDefault="00366713">
      <w:pPr>
        <w:pStyle w:val="Standard"/>
        <w:rPr>
          <w:rFonts w:ascii="PT Astra Serif" w:hAnsi="PT Astra Serif" w:hint="eastAsia"/>
          <w:sz w:val="22"/>
          <w:szCs w:val="22"/>
          <w:lang w:eastAsia="ru-RU"/>
        </w:rPr>
      </w:pPr>
    </w:p>
    <w:p w:rsidR="00366713" w:rsidRPr="009728E4" w:rsidRDefault="00CA4138">
      <w:pPr>
        <w:pStyle w:val="ConsPlusNormal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9728E4">
        <w:rPr>
          <w:rFonts w:ascii="PT Astra Serif" w:hAnsi="PT Astra Serif" w:cs="PT Astra Serif"/>
          <w:b/>
          <w:bCs/>
          <w:sz w:val="28"/>
          <w:szCs w:val="28"/>
        </w:rPr>
        <w:t xml:space="preserve">Перечень налоговых расходов </w:t>
      </w:r>
      <w:r w:rsidR="00EC3D39" w:rsidRPr="009728E4">
        <w:rPr>
          <w:rFonts w:asciiTheme="minorHAnsi" w:hAnsiTheme="minorHAnsi" w:cs="PT Astra Serif"/>
          <w:b/>
          <w:bCs/>
          <w:sz w:val="28"/>
          <w:szCs w:val="28"/>
        </w:rPr>
        <w:t xml:space="preserve"> </w:t>
      </w:r>
      <w:r w:rsidR="00EC3D39" w:rsidRPr="009728E4">
        <w:rPr>
          <w:b/>
          <w:bCs/>
          <w:sz w:val="28"/>
          <w:szCs w:val="28"/>
        </w:rPr>
        <w:t xml:space="preserve">Первомайского муниципального округа </w:t>
      </w:r>
      <w:r w:rsidRPr="009728E4">
        <w:rPr>
          <w:rFonts w:ascii="PT Astra Serif" w:hAnsi="PT Astra Serif" w:cs="PT Astra Serif"/>
          <w:b/>
          <w:bCs/>
          <w:sz w:val="28"/>
          <w:szCs w:val="28"/>
        </w:rPr>
        <w:t>Тамбовской области</w:t>
      </w:r>
    </w:p>
    <w:p w:rsidR="00366713" w:rsidRPr="009728E4" w:rsidRDefault="00366713">
      <w:pPr>
        <w:pStyle w:val="ConsPlusNormal"/>
        <w:jc w:val="center"/>
        <w:rPr>
          <w:rFonts w:ascii="PT Astra Serif" w:hAnsi="PT Astra Serif" w:cs="PT Astra Serif"/>
          <w:b/>
          <w:bCs/>
          <w:sz w:val="22"/>
          <w:szCs w:val="22"/>
        </w:rPr>
      </w:pPr>
    </w:p>
    <w:p w:rsidR="00366713" w:rsidRPr="009728E4" w:rsidRDefault="00366713">
      <w:pPr>
        <w:pStyle w:val="ConsPlusNormal"/>
        <w:jc w:val="center"/>
        <w:rPr>
          <w:rFonts w:ascii="PT Astra Serif" w:hAnsi="PT Astra Serif" w:cs="PT Astra Serif"/>
          <w:b/>
          <w:bCs/>
          <w:sz w:val="22"/>
          <w:szCs w:val="22"/>
        </w:rPr>
      </w:pPr>
    </w:p>
    <w:tbl>
      <w:tblPr>
        <w:tblW w:w="14623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"/>
        <w:gridCol w:w="2163"/>
        <w:gridCol w:w="2163"/>
        <w:gridCol w:w="1720"/>
        <w:gridCol w:w="1720"/>
        <w:gridCol w:w="1926"/>
        <w:gridCol w:w="2146"/>
        <w:gridCol w:w="2325"/>
      </w:tblGrid>
      <w:tr w:rsidR="009728E4" w:rsidRPr="009728E4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 w:cs="PT Astra Serif"/>
                <w:sz w:val="22"/>
                <w:szCs w:val="22"/>
              </w:rPr>
              <w:t xml:space="preserve">№ </w:t>
            </w:r>
            <w:proofErr w:type="gramStart"/>
            <w:r w:rsidRPr="009728E4">
              <w:rPr>
                <w:rFonts w:ascii="PT Astra Serif" w:hAnsi="PT Astra Serif"/>
                <w:sz w:val="22"/>
                <w:szCs w:val="22"/>
              </w:rPr>
              <w:t>п</w:t>
            </w:r>
            <w:proofErr w:type="gramEnd"/>
            <w:r w:rsidRPr="009728E4">
              <w:rPr>
                <w:rFonts w:ascii="PT Astra Serif" w:hAnsi="PT Astra Serif"/>
                <w:sz w:val="22"/>
                <w:szCs w:val="22"/>
              </w:rPr>
              <w:t>/п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Наименование налогов, по которым предусматриваются льготы, освобождения и иные преференции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Нормативные правовые акты, их структурные единицы, которыми предусматриваются налоговые льготы, освобождения и иные преференции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Условия предоставления налоговых льгот, освобождений и иных преференций для плательщиков налогов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Дата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Дата вступления в силу нормативных правовых актов, отменяющих налоговые льготы, освобождения и иные преференции</w:t>
            </w:r>
          </w:p>
        </w:tc>
      </w:tr>
      <w:tr w:rsidR="009728E4" w:rsidRPr="009728E4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CA4138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</w:tr>
      <w:tr w:rsidR="009728E4" w:rsidRPr="009728E4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6713" w:rsidRPr="009728E4" w:rsidRDefault="00366713">
            <w:pPr>
              <w:pStyle w:val="ConsPlusNormal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66713" w:rsidRPr="009728E4" w:rsidRDefault="00366713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ConsPlusNormal"/>
        <w:jc w:val="center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366713" w:rsidRPr="009728E4" w:rsidRDefault="00366713">
      <w:pPr>
        <w:pStyle w:val="Textbody"/>
        <w:rPr>
          <w:rFonts w:ascii="PT Astra Serif" w:hAnsi="PT Astra Serif" w:hint="eastAsia"/>
          <w:sz w:val="22"/>
          <w:szCs w:val="22"/>
        </w:rPr>
      </w:pPr>
    </w:p>
    <w:tbl>
      <w:tblPr>
        <w:tblW w:w="14299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5"/>
        <w:gridCol w:w="3756"/>
        <w:gridCol w:w="2126"/>
        <w:gridCol w:w="3119"/>
        <w:gridCol w:w="2126"/>
        <w:gridCol w:w="1417"/>
      </w:tblGrid>
      <w:tr w:rsidR="009728E4" w:rsidRPr="009728E4" w:rsidTr="004D4A8A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Цели предоставления налоговых льгот, освобождений и иных преференций для плательщиков налогов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 w:rsidP="00EC3D39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8E4">
              <w:rPr>
                <w:sz w:val="22"/>
                <w:szCs w:val="22"/>
              </w:rPr>
              <w:t xml:space="preserve">Наименования муниципальных  программ  Первомайского  муниципального округа Тамбовской области, наименования нормативных правовых актов, определяющих цели социально-экономической политики  Первомайского муниципального округа Тамбовской области, не относящиеся к муниципальным  программам  Первомайского муниципального округа Тамбовской области, в </w:t>
            </w:r>
            <w:proofErr w:type="gramStart"/>
            <w:r w:rsidRPr="009728E4">
              <w:rPr>
                <w:sz w:val="22"/>
                <w:szCs w:val="22"/>
              </w:rPr>
              <w:t>целях</w:t>
            </w:r>
            <w:proofErr w:type="gramEnd"/>
            <w:r w:rsidRPr="009728E4">
              <w:rPr>
                <w:sz w:val="22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 w:rsidP="00EC3D39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8E4">
              <w:rPr>
                <w:sz w:val="22"/>
                <w:szCs w:val="22"/>
              </w:rPr>
              <w:t xml:space="preserve">Наименования подпрограмм  муниципальных   программ Первомайского  муниципального округа Тамбовской области, в </w:t>
            </w:r>
            <w:proofErr w:type="gramStart"/>
            <w:r w:rsidRPr="009728E4">
              <w:rPr>
                <w:sz w:val="22"/>
                <w:szCs w:val="22"/>
              </w:rPr>
              <w:t>целях</w:t>
            </w:r>
            <w:proofErr w:type="gramEnd"/>
            <w:r w:rsidRPr="009728E4">
              <w:rPr>
                <w:sz w:val="22"/>
                <w:szCs w:val="22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 w:rsidP="00777393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sz w:val="22"/>
                <w:szCs w:val="22"/>
              </w:rPr>
              <w:t>Показатель (индикатор) достижения целей муниципальных  программ Первомайского  муниципального округа Тамбовской области и (или) целей социально-экономической политики Первомайского  муниципального округа Тамбовской области, не относящихся к муниципальным программам Первомайского  муниципального округа Тамбовской области, в связи с предоставлением налоговых льгот, освобождений и иных преференций по налога</w:t>
            </w:r>
            <w:r w:rsidRPr="009728E4">
              <w:rPr>
                <w:rFonts w:ascii="PT Astra Serif" w:hAnsi="PT Astra Serif"/>
                <w:sz w:val="22"/>
                <w:szCs w:val="22"/>
              </w:rPr>
              <w:t>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8E4">
              <w:rPr>
                <w:sz w:val="22"/>
                <w:szCs w:val="22"/>
              </w:rPr>
              <w:t>Наименование куратора налогового расхода Первомайского  муниципального округа Тамбовской области</w:t>
            </w:r>
          </w:p>
        </w:tc>
      </w:tr>
      <w:tr w:rsidR="009728E4" w:rsidRPr="009728E4" w:rsidTr="004D4A8A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728E4">
              <w:rPr>
                <w:rFonts w:ascii="PT Astra Serif" w:hAnsi="PT Astra Serif"/>
                <w:sz w:val="22"/>
                <w:szCs w:val="22"/>
              </w:rPr>
              <w:t>15</w:t>
            </w:r>
          </w:p>
        </w:tc>
      </w:tr>
      <w:tr w:rsidR="009728E4" w:rsidRPr="009728E4" w:rsidTr="004D4A8A"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A8A" w:rsidRPr="009728E4" w:rsidRDefault="004D4A8A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66713" w:rsidRPr="009728E4" w:rsidRDefault="00366713">
      <w:pPr>
        <w:pStyle w:val="Standard"/>
        <w:rPr>
          <w:rFonts w:ascii="PT Astra Serif" w:hAnsi="PT Astra Serif" w:hint="eastAsia"/>
          <w:sz w:val="22"/>
          <w:szCs w:val="22"/>
        </w:rPr>
      </w:pPr>
    </w:p>
    <w:p w:rsidR="00366713" w:rsidRPr="009728E4" w:rsidRDefault="00366713">
      <w:pPr>
        <w:pStyle w:val="Standard"/>
        <w:jc w:val="center"/>
        <w:rPr>
          <w:rFonts w:ascii="PT Astra Serif" w:hAnsi="PT Astra Serif" w:cs="PT Astra Serif" w:hint="eastAsia"/>
          <w:b/>
          <w:bCs/>
          <w:sz w:val="22"/>
          <w:szCs w:val="22"/>
        </w:rPr>
      </w:pPr>
    </w:p>
    <w:p w:rsidR="00366713" w:rsidRPr="009728E4" w:rsidRDefault="00366713">
      <w:pPr>
        <w:pStyle w:val="ConsPlusNormal"/>
        <w:jc w:val="center"/>
        <w:rPr>
          <w:rFonts w:ascii="PT Astra Serif" w:hAnsi="PT Astra Serif" w:cs="PT Astra Serif"/>
          <w:b/>
          <w:bCs/>
          <w:sz w:val="22"/>
          <w:szCs w:val="22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jc w:val="both"/>
        <w:rPr>
          <w:rFonts w:ascii="PT Astra Serif" w:hAnsi="PT Astra Serif" w:cs="PT Astra Serif" w:hint="eastAsia"/>
          <w:sz w:val="28"/>
          <w:szCs w:val="28"/>
        </w:rPr>
      </w:pPr>
    </w:p>
    <w:p w:rsidR="00366713" w:rsidRPr="009728E4" w:rsidRDefault="00366713">
      <w:pPr>
        <w:pStyle w:val="Standard"/>
        <w:spacing w:line="276" w:lineRule="auto"/>
        <w:rPr>
          <w:rFonts w:ascii="PT Astra Serif" w:hAnsi="PT Astra Serif" w:hint="eastAsia"/>
          <w:sz w:val="22"/>
          <w:szCs w:val="22"/>
        </w:rPr>
      </w:pPr>
      <w:bookmarkStart w:id="1" w:name="Par265"/>
      <w:bookmarkEnd w:id="1"/>
    </w:p>
    <w:sectPr w:rsidR="00366713" w:rsidRPr="009728E4">
      <w:headerReference w:type="default" r:id="rId7"/>
      <w:pgSz w:w="16838" w:h="11906" w:orient="landscape"/>
      <w:pgMar w:top="1417" w:right="567" w:bottom="1134" w:left="1701" w:header="1134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7DE" w:rsidRDefault="001957DE">
      <w:pPr>
        <w:rPr>
          <w:rFonts w:hint="eastAsia"/>
        </w:rPr>
      </w:pPr>
      <w:r>
        <w:separator/>
      </w:r>
    </w:p>
  </w:endnote>
  <w:endnote w:type="continuationSeparator" w:id="0">
    <w:p w:rsidR="001957DE" w:rsidRDefault="001957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7DE" w:rsidRDefault="001957D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957DE" w:rsidRDefault="001957D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222" w:rsidRDefault="001957DE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66713"/>
    <w:rsid w:val="001957DE"/>
    <w:rsid w:val="00366713"/>
    <w:rsid w:val="00416430"/>
    <w:rsid w:val="004D4A8A"/>
    <w:rsid w:val="006F15D1"/>
    <w:rsid w:val="00777393"/>
    <w:rsid w:val="008551D3"/>
    <w:rsid w:val="009728E4"/>
    <w:rsid w:val="00B52957"/>
    <w:rsid w:val="00BB7D91"/>
    <w:rsid w:val="00CA4138"/>
    <w:rsid w:val="00D60F35"/>
    <w:rsid w:val="00EC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ConsPlusNormal">
    <w:name w:val="ConsPlusNormal"/>
    <w:pPr>
      <w:widowControl w:val="0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styleId="a5">
    <w:name w:val="head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spacing w:before="100" w:after="142" w:line="276" w:lineRule="auto"/>
      <w:textAlignment w:val="auto"/>
    </w:pPr>
    <w:rPr>
      <w:rFonts w:cs="Times New Roman"/>
      <w:lang w:eastAsia="ru-RU" w:bidi="ar-SA"/>
    </w:rPr>
  </w:style>
  <w:style w:type="paragraph" w:customStyle="1" w:styleId="1">
    <w:name w:val="Сетка таблицы1"/>
    <w:basedOn w:val="DocumentMap"/>
    <w:rPr>
      <w:rFonts w:cs="Times New Roman"/>
      <w:lang w:eastAsia="en-US"/>
    </w:rPr>
  </w:style>
  <w:style w:type="character" w:customStyle="1" w:styleId="a7">
    <w:name w:val="Верхний колонтитул Знак"/>
    <w:basedOn w:val="a0"/>
    <w:rPr>
      <w:rFonts w:eastAsia="Times New Roman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28E4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728E4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paragraph" w:customStyle="1" w:styleId="ConsPlusNormal">
    <w:name w:val="ConsPlusNormal"/>
    <w:pPr>
      <w:widowControl w:val="0"/>
      <w:textAlignment w:val="auto"/>
    </w:pPr>
    <w:rPr>
      <w:rFonts w:ascii="Times New Roman" w:eastAsia="Times New Roman" w:hAnsi="Times New Roman" w:cs="Times New Roman"/>
      <w:lang w:eastAsia="ru-RU" w:bidi="ar-SA"/>
    </w:rPr>
  </w:style>
  <w:style w:type="paragraph" w:styleId="a5">
    <w:name w:val="head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spacing w:before="100" w:after="142" w:line="276" w:lineRule="auto"/>
      <w:textAlignment w:val="auto"/>
    </w:pPr>
    <w:rPr>
      <w:rFonts w:cs="Times New Roman"/>
      <w:lang w:eastAsia="ru-RU" w:bidi="ar-SA"/>
    </w:rPr>
  </w:style>
  <w:style w:type="paragraph" w:customStyle="1" w:styleId="1">
    <w:name w:val="Сетка таблицы1"/>
    <w:basedOn w:val="DocumentMap"/>
    <w:rPr>
      <w:rFonts w:cs="Times New Roman"/>
      <w:lang w:eastAsia="en-US"/>
    </w:rPr>
  </w:style>
  <w:style w:type="character" w:customStyle="1" w:styleId="a7">
    <w:name w:val="Верхний колонтитул Знак"/>
    <w:basedOn w:val="a0"/>
    <w:rPr>
      <w:rFonts w:eastAsia="Times New Roman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28E4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728E4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rf_05</dc:creator>
  <cp:lastModifiedBy>rf_07</cp:lastModifiedBy>
  <cp:revision>7</cp:revision>
  <cp:lastPrinted>2024-02-07T08:53:00Z</cp:lastPrinted>
  <dcterms:created xsi:type="dcterms:W3CDTF">2024-01-10T15:35:00Z</dcterms:created>
  <dcterms:modified xsi:type="dcterms:W3CDTF">2024-02-08T08:48:00Z</dcterms:modified>
</cp:coreProperties>
</file>