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bookmarkStart w:id="0" w:name="_GoBack"/>
      <w:bookmarkEnd w:id="0"/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731711" w:rsidRPr="003E6749" w:rsidRDefault="0025310F" w:rsidP="007317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3E6749">
        <w:rPr>
          <w:sz w:val="28"/>
          <w:szCs w:val="28"/>
        </w:rPr>
        <w:t>«</w:t>
      </w:r>
      <w:r w:rsidR="003E6749" w:rsidRPr="003E6749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3E6749" w:rsidRPr="003E6749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3E6749" w:rsidRPr="003E6749">
        <w:rPr>
          <w:sz w:val="28"/>
          <w:szCs w:val="28"/>
        </w:rPr>
        <w:t>, без предоставления земельных участков и установлении сервитута, публичного сервитута»</w:t>
      </w:r>
    </w:p>
    <w:p w:rsidR="008F66C0" w:rsidRDefault="008F66C0" w:rsidP="00341C06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р.п.Первомайский, пл.Ленина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7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E743EF">
        <w:rPr>
          <w:i/>
          <w:iCs/>
          <w:sz w:val="28"/>
          <w:szCs w:val="28"/>
          <w:u w:val="single"/>
        </w:rPr>
        <w:t>2</w:t>
      </w:r>
      <w:r w:rsidR="00F03FE6">
        <w:rPr>
          <w:i/>
          <w:iCs/>
          <w:sz w:val="28"/>
          <w:szCs w:val="28"/>
          <w:u w:val="single"/>
        </w:rPr>
        <w:t>4</w:t>
      </w:r>
      <w:r w:rsidR="001716A1" w:rsidRPr="00F22BD0">
        <w:rPr>
          <w:i/>
          <w:iCs/>
          <w:sz w:val="28"/>
          <w:szCs w:val="28"/>
          <w:u w:val="single"/>
        </w:rPr>
        <w:t>.0</w:t>
      </w:r>
      <w:r w:rsidR="00A24937">
        <w:rPr>
          <w:i/>
          <w:iCs/>
          <w:sz w:val="28"/>
          <w:szCs w:val="28"/>
          <w:u w:val="single"/>
        </w:rPr>
        <w:t>4</w:t>
      </w:r>
      <w:r w:rsidR="001716A1" w:rsidRPr="00F22BD0">
        <w:rPr>
          <w:i/>
          <w:iCs/>
          <w:sz w:val="28"/>
          <w:szCs w:val="28"/>
          <w:u w:val="single"/>
        </w:rPr>
        <w:t>.2020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8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9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8F66C0" w:rsidRPr="008A043B" w:rsidRDefault="008F66C0" w:rsidP="00341C06">
      <w:pPr>
        <w:pStyle w:val="a7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0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1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E743EF">
        <w:rPr>
          <w:sz w:val="27"/>
          <w:szCs w:val="27"/>
        </w:rPr>
        <w:t>2</w:t>
      </w:r>
      <w:r w:rsidR="00A24937">
        <w:rPr>
          <w:sz w:val="27"/>
          <w:szCs w:val="27"/>
        </w:rPr>
        <w:t>7.04.</w:t>
      </w:r>
      <w:r w:rsidR="001716A1" w:rsidRPr="00F22BD0">
        <w:rPr>
          <w:sz w:val="27"/>
          <w:szCs w:val="27"/>
        </w:rPr>
        <w:t>2020</w:t>
      </w:r>
      <w:r>
        <w:rPr>
          <w:i/>
          <w:iCs/>
          <w:sz w:val="27"/>
          <w:szCs w:val="27"/>
          <w:u w:val="single"/>
        </w:rPr>
        <w:t>.</w:t>
      </w:r>
    </w:p>
    <w:p w:rsidR="00903BAB" w:rsidRDefault="0025310F" w:rsidP="00903BAB">
      <w:pPr>
        <w:ind w:firstLine="540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1.Описание проблемы, на решение которой направлено предлагаемое правовое регулирование:</w:t>
      </w:r>
    </w:p>
    <w:p w:rsidR="00200EE0" w:rsidRPr="00200EE0" w:rsidRDefault="00A30E4F" w:rsidP="00200EE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r w:rsidR="00A24937">
        <w:rPr>
          <w:sz w:val="28"/>
          <w:szCs w:val="28"/>
        </w:rPr>
        <w:t>«</w:t>
      </w:r>
      <w:r w:rsidR="00A24937" w:rsidRPr="003E6749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A24937" w:rsidRPr="003E6749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A24937" w:rsidRPr="003E6749">
        <w:rPr>
          <w:sz w:val="28"/>
          <w:szCs w:val="28"/>
        </w:rPr>
        <w:t>, без предоставления земельных участков и установлении сервитута, публичного сервитута»</w:t>
      </w:r>
      <w:r w:rsidR="00A24937">
        <w:rPr>
          <w:sz w:val="28"/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разработан в целях повышения качества исполнения и доступности результатов исполнения муниципальной услуги, направленной на </w:t>
      </w:r>
      <w:r w:rsidR="00A24937">
        <w:rPr>
          <w:sz w:val="28"/>
          <w:szCs w:val="28"/>
        </w:rPr>
        <w:t>оформление</w:t>
      </w:r>
      <w:r w:rsidR="00200EE0" w:rsidRPr="00200EE0">
        <w:rPr>
          <w:sz w:val="28"/>
          <w:szCs w:val="28"/>
        </w:rPr>
        <w:t xml:space="preserve"> прав на земельные участки физическими и 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200EE0" w:rsidRPr="00880C0C" w:rsidRDefault="0025310F" w:rsidP="00200EE0">
      <w:pPr>
        <w:ind w:firstLine="540"/>
        <w:jc w:val="both"/>
        <w:rPr>
          <w:sz w:val="28"/>
          <w:szCs w:val="28"/>
          <w:lang w:eastAsia="en-US"/>
        </w:rPr>
      </w:pPr>
      <w:r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>Административный регламент применяется в случаях предоставления муниципальной услуги</w:t>
      </w:r>
      <w:bookmarkStart w:id="1" w:name="sub_1113"/>
      <w:r w:rsidR="00A24937" w:rsidRPr="003E6749">
        <w:rPr>
          <w:sz w:val="28"/>
          <w:szCs w:val="28"/>
        </w:rPr>
        <w:t xml:space="preserve"> «Выдача разрешения на использование земель или земельного участка, которые находятся в  муниципальной собственности,</w:t>
      </w:r>
      <w:r w:rsidR="00A24937" w:rsidRPr="003E6749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A24937" w:rsidRPr="003E6749">
        <w:rPr>
          <w:sz w:val="28"/>
          <w:szCs w:val="28"/>
        </w:rPr>
        <w:t xml:space="preserve">, без </w:t>
      </w:r>
      <w:r w:rsidR="00A24937" w:rsidRPr="003E6749">
        <w:rPr>
          <w:sz w:val="28"/>
          <w:szCs w:val="28"/>
        </w:rPr>
        <w:lastRenderedPageBreak/>
        <w:t>предоставления земельных участков и установлении сервитута, публичного сервитута»</w:t>
      </w:r>
      <w:r w:rsidR="00A24937">
        <w:rPr>
          <w:sz w:val="28"/>
          <w:szCs w:val="28"/>
        </w:rPr>
        <w:t>.</w:t>
      </w:r>
    </w:p>
    <w:bookmarkEnd w:id="1"/>
    <w:p w:rsidR="00731711" w:rsidRPr="00880C0C" w:rsidRDefault="00A24937" w:rsidP="00A2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1783">
        <w:rPr>
          <w:sz w:val="28"/>
          <w:szCs w:val="28"/>
        </w:rPr>
        <w:t xml:space="preserve"> </w:t>
      </w:r>
      <w:r w:rsidR="0025310F" w:rsidRPr="009D204C">
        <w:rPr>
          <w:sz w:val="28"/>
          <w:szCs w:val="28"/>
        </w:rPr>
        <w:t xml:space="preserve">3.Действующие нормативные правовые акты, поручения, другие решения, </w:t>
      </w:r>
      <w:r w:rsidR="0025310F" w:rsidRPr="00F604EE">
        <w:rPr>
          <w:sz w:val="28"/>
          <w:szCs w:val="28"/>
        </w:rPr>
        <w:t xml:space="preserve">из которых вытекает необходимость разработки </w:t>
      </w:r>
      <w:r w:rsidR="005216F8">
        <w:rPr>
          <w:sz w:val="28"/>
          <w:szCs w:val="28"/>
        </w:rPr>
        <w:t xml:space="preserve">постановления администрации </w:t>
      </w:r>
      <w:r w:rsidR="005216F8" w:rsidRPr="003F594B">
        <w:rPr>
          <w:sz w:val="28"/>
          <w:szCs w:val="28"/>
        </w:rPr>
        <w:t>Первомайского</w:t>
      </w:r>
      <w:r w:rsidR="005216F8">
        <w:rPr>
          <w:sz w:val="28"/>
          <w:szCs w:val="28"/>
        </w:rPr>
        <w:t xml:space="preserve"> </w:t>
      </w:r>
      <w:r w:rsidR="005216F8" w:rsidRPr="00790CD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«</w:t>
      </w:r>
      <w:r w:rsidRPr="003E6749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Pr="003E6749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Pr="003E6749">
        <w:rPr>
          <w:sz w:val="28"/>
          <w:szCs w:val="28"/>
        </w:rPr>
        <w:t>, без предоставления земельных участков и установлении сервитута, публичного сервитута»</w:t>
      </w:r>
      <w:r>
        <w:rPr>
          <w:sz w:val="28"/>
          <w:szCs w:val="28"/>
        </w:rPr>
        <w:t>:</w:t>
      </w:r>
    </w:p>
    <w:p w:rsidR="00A24937" w:rsidRPr="00A24937" w:rsidRDefault="00A24937" w:rsidP="0025310F">
      <w:pPr>
        <w:ind w:firstLine="709"/>
        <w:jc w:val="both"/>
        <w:rPr>
          <w:sz w:val="28"/>
        </w:rPr>
      </w:pPr>
      <w:r>
        <w:rPr>
          <w:sz w:val="28"/>
          <w:szCs w:val="28"/>
        </w:rPr>
        <w:t>распоряжение</w:t>
      </w:r>
      <w:r w:rsidRPr="00A24937">
        <w:rPr>
          <w:sz w:val="28"/>
          <w:szCs w:val="28"/>
        </w:rPr>
        <w:t xml:space="preserve"> Правительства Российской Федерации от 18.09.2019 № 2113-р «</w:t>
      </w:r>
      <w:r w:rsidRPr="00A24937">
        <w:rPr>
          <w:sz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</w:r>
    </w:p>
    <w:p w:rsidR="0025310F" w:rsidRPr="009D204C" w:rsidRDefault="00D37BAF" w:rsidP="0025310F">
      <w:pPr>
        <w:ind w:firstLine="709"/>
        <w:jc w:val="both"/>
        <w:rPr>
          <w:sz w:val="28"/>
          <w:szCs w:val="28"/>
        </w:rPr>
      </w:pPr>
      <w:r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 </w:t>
      </w:r>
      <w:r w:rsidR="0025310F" w:rsidRPr="00EC247B">
        <w:rPr>
          <w:sz w:val="28"/>
          <w:szCs w:val="28"/>
        </w:rPr>
        <w:t>4. Планируемый срок вступления</w:t>
      </w:r>
      <w:r w:rsidR="0025310F" w:rsidRPr="009D204C">
        <w:rPr>
          <w:sz w:val="28"/>
          <w:szCs w:val="28"/>
        </w:rPr>
        <w:t xml:space="preserve"> в силу </w:t>
      </w:r>
      <w:r w:rsidR="0025310F" w:rsidRPr="00F22BD0">
        <w:rPr>
          <w:i/>
          <w:iCs/>
          <w:sz w:val="28"/>
          <w:szCs w:val="28"/>
          <w:u w:val="single"/>
        </w:rPr>
        <w:t xml:space="preserve">с </w:t>
      </w:r>
      <w:r w:rsidR="00F22BD0" w:rsidRPr="00F22BD0">
        <w:rPr>
          <w:i/>
          <w:iCs/>
          <w:sz w:val="28"/>
          <w:szCs w:val="28"/>
          <w:u w:val="single"/>
        </w:rPr>
        <w:t>2</w:t>
      </w:r>
      <w:r w:rsidR="00A24937">
        <w:rPr>
          <w:i/>
          <w:iCs/>
          <w:sz w:val="28"/>
          <w:szCs w:val="28"/>
          <w:u w:val="single"/>
        </w:rPr>
        <w:t>8</w:t>
      </w:r>
      <w:r w:rsidRPr="00F22BD0">
        <w:rPr>
          <w:i/>
          <w:iCs/>
          <w:sz w:val="28"/>
          <w:szCs w:val="28"/>
          <w:u w:val="single"/>
        </w:rPr>
        <w:t>.0</w:t>
      </w:r>
      <w:r w:rsidR="00A24937">
        <w:rPr>
          <w:i/>
          <w:iCs/>
          <w:sz w:val="28"/>
          <w:szCs w:val="28"/>
          <w:u w:val="single"/>
        </w:rPr>
        <w:t>4</w:t>
      </w:r>
      <w:r w:rsidRPr="00F22BD0">
        <w:rPr>
          <w:i/>
          <w:iCs/>
          <w:sz w:val="28"/>
          <w:szCs w:val="28"/>
          <w:u w:val="single"/>
        </w:rPr>
        <w:t>.2020</w:t>
      </w:r>
      <w:r w:rsidR="0025310F"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регулированию.)Нет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BE1783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10.04.2020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A0105F" w:rsidRDefault="00A0105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D37BAF" w:rsidRDefault="00D37BAF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CC57E5" w:rsidRPr="00BE1783" w:rsidRDefault="0025310F" w:rsidP="00CC57E5">
      <w:pPr>
        <w:jc w:val="both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BE1783" w:rsidRPr="00BE1783">
        <w:rPr>
          <w:szCs w:val="28"/>
        </w:rPr>
        <w:t>«</w:t>
      </w:r>
      <w:r w:rsidR="00BE1783" w:rsidRPr="00BE1783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BE1783" w:rsidRPr="00BE1783">
        <w:rPr>
          <w:rFonts w:eastAsia="Calibri"/>
          <w:sz w:val="26"/>
          <w:szCs w:val="26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BE1783" w:rsidRPr="00BE1783">
        <w:rPr>
          <w:sz w:val="26"/>
          <w:szCs w:val="26"/>
        </w:rPr>
        <w:t>, без предоставления земельных участков и установлении сервитута, публичного сервитута»</w:t>
      </w:r>
      <w:r w:rsidR="00BE1783">
        <w:rPr>
          <w:sz w:val="26"/>
          <w:szCs w:val="26"/>
        </w:rPr>
        <w:t>:</w:t>
      </w:r>
    </w:p>
    <w:p w:rsidR="0025310F" w:rsidRPr="00CA7CA6" w:rsidRDefault="0025310F" w:rsidP="00CC57E5">
      <w:pPr>
        <w:jc w:val="both"/>
        <w:rPr>
          <w:b/>
        </w:rPr>
      </w:pPr>
      <w:r w:rsidRPr="00CA7CA6">
        <w:rPr>
          <w:sz w:val="28"/>
          <w:szCs w:val="28"/>
        </w:rPr>
        <w:t xml:space="preserve">  </w:t>
      </w:r>
      <w:r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>К каким последствиям может привести не достижение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0E49F6" w:rsidRDefault="000E49F6" w:rsidP="0025310F">
      <w:pPr>
        <w:pStyle w:val="a7"/>
        <w:spacing w:before="0" w:beforeAutospacing="0" w:after="0"/>
        <w:rPr>
          <w:sz w:val="27"/>
          <w:szCs w:val="27"/>
        </w:rPr>
      </w:pPr>
    </w:p>
    <w:p w:rsidR="00BE1783" w:rsidRDefault="00BE1783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BE1783" w:rsidRPr="00BE1783" w:rsidRDefault="0025310F" w:rsidP="00BE1783">
      <w:pPr>
        <w:jc w:val="both"/>
        <w:rPr>
          <w:sz w:val="26"/>
          <w:szCs w:val="26"/>
        </w:rPr>
      </w:pPr>
      <w:r w:rsidRPr="00BE1783">
        <w:rPr>
          <w:bCs/>
          <w:sz w:val="26"/>
          <w:szCs w:val="26"/>
        </w:rPr>
        <w:t xml:space="preserve">к  </w:t>
      </w:r>
      <w:r w:rsidRPr="00BE1783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BE1783" w:rsidRPr="00BE1783">
        <w:rPr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BE1783" w:rsidRPr="00BE1783">
        <w:rPr>
          <w:rFonts w:eastAsia="Calibri"/>
          <w:sz w:val="26"/>
          <w:szCs w:val="26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BE1783" w:rsidRPr="00BE1783">
        <w:rPr>
          <w:sz w:val="26"/>
          <w:szCs w:val="26"/>
        </w:rPr>
        <w:t>, без предоставления земельных участков и установлении сервитута, публичного сервитута»</w:t>
      </w:r>
    </w:p>
    <w:p w:rsidR="00BE1783" w:rsidRPr="003E6749" w:rsidRDefault="00BE1783" w:rsidP="00BE1783">
      <w:pPr>
        <w:jc w:val="both"/>
        <w:rPr>
          <w:sz w:val="28"/>
          <w:szCs w:val="28"/>
        </w:rPr>
      </w:pPr>
    </w:p>
    <w:p w:rsidR="0025310F" w:rsidRPr="006B40FD" w:rsidRDefault="0025310F" w:rsidP="00BE1783">
      <w:pPr>
        <w:ind w:firstLine="709"/>
        <w:jc w:val="center"/>
        <w:rPr>
          <w:bCs/>
          <w:sz w:val="28"/>
          <w:szCs w:val="28"/>
        </w:rPr>
      </w:pPr>
      <w:r w:rsidRPr="006B40FD">
        <w:rPr>
          <w:bCs/>
          <w:sz w:val="28"/>
          <w:szCs w:val="28"/>
        </w:rPr>
        <w:t>1.Общая информация.</w:t>
      </w:r>
    </w:p>
    <w:p w:rsidR="00BE1783" w:rsidRPr="00BE1783" w:rsidRDefault="0025310F" w:rsidP="00790DA8">
      <w:pPr>
        <w:ind w:firstLine="709"/>
        <w:jc w:val="both"/>
        <w:rPr>
          <w:sz w:val="26"/>
          <w:szCs w:val="26"/>
        </w:rPr>
      </w:pPr>
      <w:r w:rsidRPr="00BE1783">
        <w:rPr>
          <w:sz w:val="26"/>
          <w:szCs w:val="26"/>
        </w:rPr>
        <w:t>проект постановления адми</w:t>
      </w:r>
      <w:r w:rsidR="0098188F" w:rsidRPr="00BE1783">
        <w:rPr>
          <w:sz w:val="26"/>
          <w:szCs w:val="26"/>
        </w:rPr>
        <w:t xml:space="preserve">нистрации Первомайского района </w:t>
      </w:r>
    </w:p>
    <w:p w:rsidR="001F6F87" w:rsidRPr="00BE1783" w:rsidRDefault="00BE1783" w:rsidP="00BE1783">
      <w:pPr>
        <w:jc w:val="both"/>
        <w:rPr>
          <w:sz w:val="26"/>
          <w:szCs w:val="26"/>
        </w:rPr>
      </w:pPr>
      <w:r w:rsidRPr="00BE1783">
        <w:rPr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Pr="00BE1783">
        <w:rPr>
          <w:rFonts w:eastAsia="Calibri"/>
          <w:sz w:val="26"/>
          <w:szCs w:val="26"/>
        </w:rPr>
        <w:t xml:space="preserve"> а также на землях или земельных участках, государственная собственность на который не разграничена</w:t>
      </w:r>
      <w:r w:rsidRPr="00BE1783">
        <w:rPr>
          <w:sz w:val="26"/>
          <w:szCs w:val="26"/>
        </w:rPr>
        <w:t>, без предоставления земельных участков и установлении сервитута, публичного сервитута».</w:t>
      </w:r>
    </w:p>
    <w:p w:rsidR="0025310F" w:rsidRPr="00BE1783" w:rsidRDefault="0025310F" w:rsidP="00790DA8">
      <w:pPr>
        <w:ind w:firstLine="709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BE1783" w:rsidRDefault="00E34B5D" w:rsidP="003720BF">
      <w:pPr>
        <w:pStyle w:val="Default"/>
        <w:ind w:firstLine="708"/>
        <w:jc w:val="both"/>
        <w:rPr>
          <w:sz w:val="26"/>
          <w:szCs w:val="26"/>
        </w:rPr>
      </w:pPr>
      <w:r w:rsidRPr="00BE1783">
        <w:rPr>
          <w:sz w:val="26"/>
          <w:szCs w:val="26"/>
        </w:rPr>
        <w:t>Приведение в соответствие структуры административного регламента</w:t>
      </w:r>
      <w:r w:rsidR="003720BF" w:rsidRPr="00BE1783">
        <w:rPr>
          <w:sz w:val="26"/>
          <w:szCs w:val="26"/>
        </w:rPr>
        <w:t>.</w:t>
      </w:r>
    </w:p>
    <w:p w:rsidR="003B777B" w:rsidRPr="00BE1783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BE1783">
        <w:rPr>
          <w:sz w:val="26"/>
          <w:szCs w:val="26"/>
        </w:rPr>
        <w:t>Административный регламент применяется в случаях предоставления муниципальной услуги «</w:t>
      </w:r>
      <w:r w:rsidR="00BE1783" w:rsidRPr="00BE1783">
        <w:rPr>
          <w:sz w:val="26"/>
          <w:szCs w:val="26"/>
        </w:rPr>
        <w:t>Выдача разрешения на использование земель или земельного участка, которые находятся в  муниципальной собственности,</w:t>
      </w:r>
      <w:r w:rsidR="00BE1783" w:rsidRPr="00BE1783">
        <w:rPr>
          <w:rFonts w:eastAsia="Calibri"/>
          <w:sz w:val="26"/>
          <w:szCs w:val="26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BE1783" w:rsidRPr="00BE1783">
        <w:rPr>
          <w:sz w:val="26"/>
          <w:szCs w:val="26"/>
        </w:rPr>
        <w:t>, без предоставления земельных участков и установлении сервитута, публичного сервитута</w:t>
      </w:r>
      <w:r w:rsidR="003B777B" w:rsidRPr="00BE1783">
        <w:rPr>
          <w:sz w:val="26"/>
          <w:szCs w:val="26"/>
        </w:rPr>
        <w:t>».</w:t>
      </w:r>
    </w:p>
    <w:p w:rsidR="0025310F" w:rsidRPr="00BE1783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BE1783">
        <w:rPr>
          <w:sz w:val="26"/>
          <w:szCs w:val="26"/>
        </w:rPr>
        <w:t>4.К</w:t>
      </w:r>
      <w:r w:rsidRPr="00BE1783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BE1783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BE1783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  5.И</w:t>
      </w:r>
      <w:r w:rsidRPr="00BE1783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BE1783">
        <w:rPr>
          <w:sz w:val="26"/>
          <w:szCs w:val="26"/>
        </w:rPr>
        <w:t>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BE1783">
        <w:rPr>
          <w:sz w:val="26"/>
          <w:szCs w:val="26"/>
        </w:rPr>
        <w:t xml:space="preserve">  Нет.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  6.О</w:t>
      </w:r>
      <w:r w:rsidRPr="00BE1783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BE1783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  7.И</w:t>
      </w:r>
      <w:r w:rsidRPr="00BE1783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BE1783">
        <w:rPr>
          <w:sz w:val="26"/>
          <w:szCs w:val="26"/>
        </w:rPr>
        <w:t>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BE1783">
        <w:rPr>
          <w:sz w:val="26"/>
          <w:szCs w:val="26"/>
        </w:rPr>
        <w:t xml:space="preserve">  Нет.</w:t>
      </w:r>
    </w:p>
    <w:p w:rsidR="0025310F" w:rsidRPr="00BE1783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  8.И</w:t>
      </w:r>
      <w:r w:rsidRPr="00BE1783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3F28FB" w:rsidRPr="00BE1783" w:rsidRDefault="0025310F" w:rsidP="00FF0C09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BE1783">
        <w:rPr>
          <w:sz w:val="26"/>
          <w:szCs w:val="26"/>
        </w:rPr>
        <w:t xml:space="preserve">  Нет.</w:t>
      </w:r>
    </w:p>
    <w:p w:rsidR="00903BAB" w:rsidRPr="00BE1783" w:rsidRDefault="00903BAB" w:rsidP="003F28FB">
      <w:pPr>
        <w:widowControl w:val="0"/>
        <w:autoSpaceDE w:val="0"/>
        <w:jc w:val="both"/>
        <w:rPr>
          <w:sz w:val="26"/>
          <w:szCs w:val="26"/>
        </w:rPr>
      </w:pPr>
    </w:p>
    <w:p w:rsidR="0098188F" w:rsidRPr="006B40FD" w:rsidRDefault="0098188F" w:rsidP="003F28FB">
      <w:pPr>
        <w:widowControl w:val="0"/>
        <w:autoSpaceDE w:val="0"/>
        <w:jc w:val="both"/>
        <w:rPr>
          <w:sz w:val="28"/>
          <w:szCs w:val="28"/>
        </w:rPr>
      </w:pPr>
      <w:r w:rsidRPr="006B40FD">
        <w:rPr>
          <w:sz w:val="28"/>
          <w:szCs w:val="28"/>
        </w:rPr>
        <w:t>Начальник отдела по управлению</w:t>
      </w:r>
    </w:p>
    <w:p w:rsidR="0098188F" w:rsidRPr="006B40FD" w:rsidRDefault="0098188F" w:rsidP="0098188F">
      <w:pPr>
        <w:autoSpaceDE w:val="0"/>
        <w:autoSpaceDN w:val="0"/>
        <w:adjustRightInd w:val="0"/>
        <w:rPr>
          <w:sz w:val="28"/>
          <w:szCs w:val="28"/>
        </w:rPr>
      </w:pPr>
      <w:r w:rsidRPr="006B40FD">
        <w:rPr>
          <w:sz w:val="28"/>
          <w:szCs w:val="28"/>
        </w:rPr>
        <w:t xml:space="preserve">имуществом и землеустройству района                    </w:t>
      </w:r>
      <w:r w:rsidR="006B40FD" w:rsidRPr="006B40FD">
        <w:rPr>
          <w:sz w:val="28"/>
          <w:szCs w:val="28"/>
        </w:rPr>
        <w:t xml:space="preserve">       </w:t>
      </w:r>
      <w:r w:rsidRPr="006B40FD">
        <w:rPr>
          <w:sz w:val="28"/>
          <w:szCs w:val="28"/>
        </w:rPr>
        <w:t xml:space="preserve"> </w:t>
      </w:r>
      <w:r w:rsidR="008A250B" w:rsidRPr="006B40FD">
        <w:rPr>
          <w:sz w:val="28"/>
          <w:szCs w:val="28"/>
        </w:rPr>
        <w:t xml:space="preserve">      </w:t>
      </w:r>
      <w:r w:rsidRPr="006B40FD">
        <w:rPr>
          <w:sz w:val="28"/>
          <w:szCs w:val="28"/>
        </w:rPr>
        <w:t xml:space="preserve">        И.В.Махина</w:t>
      </w:r>
    </w:p>
    <w:p w:rsidR="003F28FB" w:rsidRPr="00F22BD0" w:rsidRDefault="00BE1783" w:rsidP="009818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10.04.2020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2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EF" w:rsidRDefault="000D6AEF">
      <w:r>
        <w:separator/>
      </w:r>
    </w:p>
  </w:endnote>
  <w:endnote w:type="continuationSeparator" w:id="0">
    <w:p w:rsidR="000D6AEF" w:rsidRDefault="000D6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EF" w:rsidRDefault="000D6AEF">
      <w:r>
        <w:separator/>
      </w:r>
    </w:p>
  </w:footnote>
  <w:footnote w:type="continuationSeparator" w:id="0">
    <w:p w:rsidR="000D6AEF" w:rsidRDefault="000D6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37B97"/>
    <w:rsid w:val="000658DF"/>
    <w:rsid w:val="000C3C2F"/>
    <w:rsid w:val="000D6AEF"/>
    <w:rsid w:val="000E49F6"/>
    <w:rsid w:val="001544EA"/>
    <w:rsid w:val="001716A1"/>
    <w:rsid w:val="001B2EDB"/>
    <w:rsid w:val="001F6F87"/>
    <w:rsid w:val="00200EE0"/>
    <w:rsid w:val="002053C2"/>
    <w:rsid w:val="00241970"/>
    <w:rsid w:val="0025310F"/>
    <w:rsid w:val="00271790"/>
    <w:rsid w:val="002A60C5"/>
    <w:rsid w:val="002C3574"/>
    <w:rsid w:val="00341C06"/>
    <w:rsid w:val="003720BF"/>
    <w:rsid w:val="003B777B"/>
    <w:rsid w:val="003E6749"/>
    <w:rsid w:val="003F28FB"/>
    <w:rsid w:val="00422220"/>
    <w:rsid w:val="00481841"/>
    <w:rsid w:val="004B45FE"/>
    <w:rsid w:val="005216F8"/>
    <w:rsid w:val="006B40FD"/>
    <w:rsid w:val="00731711"/>
    <w:rsid w:val="00757593"/>
    <w:rsid w:val="0076658F"/>
    <w:rsid w:val="00790DA8"/>
    <w:rsid w:val="00815461"/>
    <w:rsid w:val="008A250B"/>
    <w:rsid w:val="008F66C0"/>
    <w:rsid w:val="00903BAB"/>
    <w:rsid w:val="0095729E"/>
    <w:rsid w:val="0098188F"/>
    <w:rsid w:val="00A0105F"/>
    <w:rsid w:val="00A05474"/>
    <w:rsid w:val="00A13E58"/>
    <w:rsid w:val="00A24937"/>
    <w:rsid w:val="00A30E4F"/>
    <w:rsid w:val="00A738EE"/>
    <w:rsid w:val="00AC73EF"/>
    <w:rsid w:val="00AD650D"/>
    <w:rsid w:val="00B124AB"/>
    <w:rsid w:val="00B334A2"/>
    <w:rsid w:val="00BA791B"/>
    <w:rsid w:val="00BE1783"/>
    <w:rsid w:val="00C501B8"/>
    <w:rsid w:val="00C91814"/>
    <w:rsid w:val="00CC57E5"/>
    <w:rsid w:val="00D37BAF"/>
    <w:rsid w:val="00D729F5"/>
    <w:rsid w:val="00DF14C0"/>
    <w:rsid w:val="00E34B5D"/>
    <w:rsid w:val="00E743EF"/>
    <w:rsid w:val="00E8734D"/>
    <w:rsid w:val="00EE0FE2"/>
    <w:rsid w:val="00F03FE6"/>
    <w:rsid w:val="00F22BD0"/>
    <w:rsid w:val="00F72F66"/>
    <w:rsid w:val="00FA0C57"/>
    <w:rsid w:val="00FA3EC9"/>
    <w:rsid w:val="00FF0C09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//1663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@r48.tambov.gov.ru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gulation.tambov.gov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48.tmb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.tambov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2</cp:revision>
  <dcterms:created xsi:type="dcterms:W3CDTF">2020-04-13T10:55:00Z</dcterms:created>
  <dcterms:modified xsi:type="dcterms:W3CDTF">2020-04-13T10:55:00Z</dcterms:modified>
</cp:coreProperties>
</file>